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FDD1E" w14:textId="329B343B" w:rsidR="00DC4F09" w:rsidRDefault="00DC4F09" w:rsidP="00DC4F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Osnovna </w:t>
      </w:r>
      <w:r w:rsidR="00316533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kola Hrvatski Leskovac</w:t>
      </w:r>
    </w:p>
    <w:p w14:paraId="19B2171B" w14:textId="52D5477F" w:rsidR="00DC4F09" w:rsidRDefault="00DC4F09" w:rsidP="00DC4F0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Pilinka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2, 10257 </w:t>
      </w:r>
      <w:r w:rsidR="00605068">
        <w:rPr>
          <w:rFonts w:ascii="Times New Roman" w:hAnsi="Times New Roman" w:cs="Times New Roman"/>
          <w:sz w:val="24"/>
          <w:szCs w:val="24"/>
        </w:rPr>
        <w:t>Brezovica,</w:t>
      </w:r>
    </w:p>
    <w:p w14:paraId="62C92F6C" w14:textId="58351BD3" w:rsidR="00DC4F09" w:rsidRPr="00626CE9" w:rsidRDefault="00605068" w:rsidP="00DC4F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2B21">
        <w:rPr>
          <w:rFonts w:ascii="Times New Roman" w:hAnsi="Times New Roman" w:cs="Times New Roman"/>
          <w:sz w:val="24"/>
          <w:szCs w:val="24"/>
        </w:rPr>
        <w:t>1</w:t>
      </w:r>
      <w:r w:rsidR="00D643DA">
        <w:rPr>
          <w:rFonts w:ascii="Times New Roman" w:hAnsi="Times New Roman" w:cs="Times New Roman"/>
          <w:sz w:val="24"/>
          <w:szCs w:val="24"/>
        </w:rPr>
        <w:t>0</w:t>
      </w:r>
      <w:r w:rsidR="00212B21">
        <w:rPr>
          <w:rFonts w:ascii="Times New Roman" w:hAnsi="Times New Roman" w:cs="Times New Roman"/>
          <w:sz w:val="24"/>
          <w:szCs w:val="24"/>
        </w:rPr>
        <w:t>.02.2026.</w:t>
      </w:r>
    </w:p>
    <w:p w14:paraId="0FA4C79F" w14:textId="6ED931ED" w:rsidR="00DC4F09" w:rsidRDefault="00212B21">
      <w:r>
        <w:t>.</w:t>
      </w:r>
    </w:p>
    <w:p w14:paraId="01B2D8F5" w14:textId="77777777" w:rsidR="00DC4F09" w:rsidRDefault="00DC4F09"/>
    <w:p w14:paraId="5928350E" w14:textId="18D1FCB8" w:rsidR="00DC4F09" w:rsidRDefault="00DC4F09" w:rsidP="00DC4F09">
      <w:pPr>
        <w:jc w:val="center"/>
        <w:rPr>
          <w:b/>
          <w:bCs/>
          <w:sz w:val="24"/>
          <w:szCs w:val="24"/>
        </w:rPr>
      </w:pPr>
      <w:r w:rsidRPr="00DC4F09">
        <w:rPr>
          <w:b/>
          <w:bCs/>
          <w:sz w:val="24"/>
          <w:szCs w:val="24"/>
        </w:rPr>
        <w:t>OBRAZLOŽENJE GODIŠNJEG IZVJEŠTAJA O IZVRŠENJU FINANCIJSKOG PLANA ZA 202</w:t>
      </w:r>
      <w:r w:rsidR="00212B21">
        <w:rPr>
          <w:b/>
          <w:bCs/>
          <w:sz w:val="24"/>
          <w:szCs w:val="24"/>
        </w:rPr>
        <w:t>5.</w:t>
      </w:r>
      <w:r w:rsidRPr="00DC4F09">
        <w:rPr>
          <w:b/>
          <w:bCs/>
          <w:sz w:val="24"/>
          <w:szCs w:val="24"/>
        </w:rPr>
        <w:t xml:space="preserve"> GODINU</w:t>
      </w:r>
    </w:p>
    <w:p w14:paraId="56CD7012" w14:textId="77777777" w:rsidR="00DC4F09" w:rsidRDefault="00DC4F09" w:rsidP="00DC4F09">
      <w:pPr>
        <w:jc w:val="center"/>
        <w:rPr>
          <w:b/>
          <w:bCs/>
          <w:sz w:val="24"/>
          <w:szCs w:val="24"/>
        </w:rPr>
      </w:pPr>
    </w:p>
    <w:p w14:paraId="25155DEA" w14:textId="35E3FA88" w:rsidR="00DC4F09" w:rsidRPr="009647E4" w:rsidRDefault="00DC4F09" w:rsidP="00DC4F09">
      <w:pPr>
        <w:rPr>
          <w:b/>
          <w:bCs/>
          <w:sz w:val="24"/>
          <w:szCs w:val="24"/>
        </w:rPr>
      </w:pPr>
      <w:r w:rsidRPr="009647E4">
        <w:rPr>
          <w:b/>
          <w:bCs/>
          <w:sz w:val="24"/>
          <w:szCs w:val="24"/>
        </w:rPr>
        <w:t>UVODNI DIO:</w:t>
      </w:r>
    </w:p>
    <w:p w14:paraId="06518B8B" w14:textId="7376CA2D" w:rsidR="00DC4F09" w:rsidRDefault="00DC4F09" w:rsidP="00DC4F09">
      <w:pPr>
        <w:rPr>
          <w:sz w:val="24"/>
          <w:szCs w:val="24"/>
        </w:rPr>
      </w:pPr>
      <w:r>
        <w:rPr>
          <w:sz w:val="24"/>
          <w:szCs w:val="24"/>
        </w:rPr>
        <w:t>PRORAČUNSKI KORISNIK : OSNOVNA ŠKOLA HRVATSKI LESKOVAC</w:t>
      </w:r>
    </w:p>
    <w:p w14:paraId="7224C4BE" w14:textId="361E2BB6" w:rsidR="00DC4F09" w:rsidRDefault="009647E4" w:rsidP="00DC4F09">
      <w:pPr>
        <w:rPr>
          <w:sz w:val="24"/>
          <w:szCs w:val="24"/>
        </w:rPr>
      </w:pPr>
      <w:r>
        <w:rPr>
          <w:sz w:val="24"/>
          <w:szCs w:val="24"/>
        </w:rPr>
        <w:t>PROGRAM</w:t>
      </w:r>
      <w:r w:rsidR="008247F5">
        <w:rPr>
          <w:sz w:val="24"/>
          <w:szCs w:val="24"/>
        </w:rPr>
        <w:t xml:space="preserve"> : DJELATNOST USTANOVA OSNOVNOŠKOLSKOG OBRAZOVANJA</w:t>
      </w:r>
    </w:p>
    <w:p w14:paraId="0B8015B5" w14:textId="0A1BB027" w:rsidR="00AF14F7" w:rsidRDefault="00AF14F7" w:rsidP="00DC4F09">
      <w:pPr>
        <w:rPr>
          <w:sz w:val="24"/>
          <w:szCs w:val="24"/>
        </w:rPr>
      </w:pPr>
      <w:r>
        <w:rPr>
          <w:sz w:val="24"/>
          <w:szCs w:val="24"/>
        </w:rPr>
        <w:t>PRAVNA OSNOVA ZA DONOŠENJE IZVJEŠTAJA:  Zakon o proračunu ( N.N.</w:t>
      </w:r>
      <w:r w:rsidR="00CC5C4B">
        <w:rPr>
          <w:sz w:val="24"/>
          <w:szCs w:val="24"/>
        </w:rPr>
        <w:t xml:space="preserve"> </w:t>
      </w:r>
      <w:r w:rsidR="00534CF1">
        <w:rPr>
          <w:sz w:val="24"/>
          <w:szCs w:val="24"/>
        </w:rPr>
        <w:t>85</w:t>
      </w:r>
      <w:r w:rsidR="00CC5C4B">
        <w:rPr>
          <w:sz w:val="24"/>
          <w:szCs w:val="24"/>
        </w:rPr>
        <w:t>/202</w:t>
      </w:r>
      <w:r w:rsidR="00534CF1">
        <w:rPr>
          <w:sz w:val="24"/>
          <w:szCs w:val="24"/>
        </w:rPr>
        <w:t>3</w:t>
      </w:r>
      <w:r w:rsidR="00CC5C4B">
        <w:rPr>
          <w:sz w:val="24"/>
          <w:szCs w:val="24"/>
        </w:rPr>
        <w:t xml:space="preserve"> ), primjenjuje se </w:t>
      </w:r>
      <w:r w:rsidR="005118E0">
        <w:rPr>
          <w:sz w:val="24"/>
          <w:szCs w:val="24"/>
        </w:rPr>
        <w:t xml:space="preserve">od </w:t>
      </w:r>
      <w:r w:rsidR="00534CF1">
        <w:rPr>
          <w:sz w:val="24"/>
          <w:szCs w:val="24"/>
        </w:rPr>
        <w:t>24</w:t>
      </w:r>
      <w:r w:rsidR="005118E0">
        <w:rPr>
          <w:sz w:val="24"/>
          <w:szCs w:val="24"/>
        </w:rPr>
        <w:t>.</w:t>
      </w:r>
      <w:r w:rsidR="00534CF1">
        <w:rPr>
          <w:sz w:val="24"/>
          <w:szCs w:val="24"/>
        </w:rPr>
        <w:t>07</w:t>
      </w:r>
      <w:r w:rsidR="004279E3">
        <w:rPr>
          <w:sz w:val="24"/>
          <w:szCs w:val="24"/>
        </w:rPr>
        <w:t>.</w:t>
      </w:r>
      <w:r w:rsidR="005118E0">
        <w:rPr>
          <w:sz w:val="24"/>
          <w:szCs w:val="24"/>
        </w:rPr>
        <w:t>202</w:t>
      </w:r>
      <w:r w:rsidR="00534CF1">
        <w:rPr>
          <w:sz w:val="24"/>
          <w:szCs w:val="24"/>
        </w:rPr>
        <w:t>3</w:t>
      </w:r>
      <w:r w:rsidR="005118E0">
        <w:rPr>
          <w:sz w:val="24"/>
          <w:szCs w:val="24"/>
        </w:rPr>
        <w:t xml:space="preserve">. godine. </w:t>
      </w:r>
      <w:r w:rsidR="00576402">
        <w:rPr>
          <w:sz w:val="24"/>
          <w:szCs w:val="24"/>
        </w:rPr>
        <w:t xml:space="preserve">Kako je propisano </w:t>
      </w:r>
      <w:r w:rsidR="00604D34">
        <w:rPr>
          <w:sz w:val="24"/>
          <w:szCs w:val="24"/>
        </w:rPr>
        <w:t xml:space="preserve">Pravilnikom o polugodišnjem i godišnjem </w:t>
      </w:r>
      <w:r w:rsidR="00132CED">
        <w:rPr>
          <w:sz w:val="24"/>
          <w:szCs w:val="24"/>
        </w:rPr>
        <w:t xml:space="preserve">izvještaju o izvršenju Proračuna i financijskog plana </w:t>
      </w:r>
      <w:r w:rsidR="00E86277">
        <w:rPr>
          <w:sz w:val="24"/>
          <w:szCs w:val="24"/>
        </w:rPr>
        <w:t xml:space="preserve">(Narodne novine  85/23). Izvještaj o </w:t>
      </w:r>
      <w:r w:rsidR="00EF53FC">
        <w:rPr>
          <w:sz w:val="24"/>
          <w:szCs w:val="24"/>
        </w:rPr>
        <w:t>izvršenju financijskog plana sadrži sljedeće podatke</w:t>
      </w:r>
      <w:r w:rsidR="003175B2">
        <w:rPr>
          <w:sz w:val="24"/>
          <w:szCs w:val="24"/>
        </w:rPr>
        <w:t>:</w:t>
      </w:r>
    </w:p>
    <w:p w14:paraId="351F3FF4" w14:textId="11C00D80" w:rsidR="00C83C59" w:rsidRDefault="00C83C59" w:rsidP="00DC4F09">
      <w:pPr>
        <w:rPr>
          <w:b/>
          <w:bCs/>
          <w:sz w:val="24"/>
          <w:szCs w:val="24"/>
        </w:rPr>
      </w:pPr>
      <w:r w:rsidRPr="008E753B">
        <w:rPr>
          <w:b/>
          <w:bCs/>
          <w:sz w:val="24"/>
          <w:szCs w:val="24"/>
        </w:rPr>
        <w:t>OPĆI DIO</w:t>
      </w:r>
    </w:p>
    <w:p w14:paraId="69F2CFE9" w14:textId="63418396" w:rsidR="008E753B" w:rsidRDefault="008E753B" w:rsidP="008E753B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OBRAZLOŽENJE </w:t>
      </w:r>
      <w:r w:rsidR="002C3C38">
        <w:rPr>
          <w:b/>
          <w:bCs/>
          <w:sz w:val="24"/>
          <w:szCs w:val="24"/>
        </w:rPr>
        <w:t>OSTVARENJA PRIHODA I RASHODA, PRIMITAKA I IZDATAKA NA DAN 31.12.202</w:t>
      </w:r>
      <w:r w:rsidR="00212B21">
        <w:rPr>
          <w:b/>
          <w:bCs/>
          <w:sz w:val="24"/>
          <w:szCs w:val="24"/>
        </w:rPr>
        <w:t>5</w:t>
      </w:r>
      <w:r w:rsidR="002C3C38">
        <w:rPr>
          <w:b/>
          <w:bCs/>
          <w:sz w:val="24"/>
          <w:szCs w:val="24"/>
        </w:rPr>
        <w:t>.</w:t>
      </w:r>
    </w:p>
    <w:p w14:paraId="5E8BF204" w14:textId="44C3EF87" w:rsidR="00243F78" w:rsidRDefault="0081503D" w:rsidP="00243F78">
      <w:pPr>
        <w:ind w:left="360"/>
        <w:rPr>
          <w:sz w:val="24"/>
          <w:szCs w:val="24"/>
        </w:rPr>
      </w:pPr>
      <w:r>
        <w:rPr>
          <w:sz w:val="24"/>
          <w:szCs w:val="24"/>
        </w:rPr>
        <w:t>Prikazuje se</w:t>
      </w:r>
      <w:r w:rsidR="002856BF">
        <w:rPr>
          <w:sz w:val="24"/>
          <w:szCs w:val="24"/>
        </w:rPr>
        <w:t xml:space="preserve"> druga izmjena i dopuna</w:t>
      </w:r>
      <w:r>
        <w:rPr>
          <w:sz w:val="24"/>
          <w:szCs w:val="24"/>
        </w:rPr>
        <w:t xml:space="preserve"> financij</w:t>
      </w:r>
      <w:r w:rsidR="002856BF">
        <w:rPr>
          <w:sz w:val="24"/>
          <w:szCs w:val="24"/>
        </w:rPr>
        <w:t>skog</w:t>
      </w:r>
      <w:r>
        <w:rPr>
          <w:sz w:val="24"/>
          <w:szCs w:val="24"/>
        </w:rPr>
        <w:t xml:space="preserve"> plan</w:t>
      </w:r>
      <w:r w:rsidR="002856B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316533">
        <w:rPr>
          <w:sz w:val="24"/>
          <w:szCs w:val="24"/>
        </w:rPr>
        <w:t>O</w:t>
      </w:r>
      <w:r>
        <w:rPr>
          <w:sz w:val="24"/>
          <w:szCs w:val="24"/>
        </w:rPr>
        <w:t>snovne škole Hrvatski Leskovac za razdoblje 2025.-</w:t>
      </w:r>
      <w:r w:rsidR="00BB7E34">
        <w:rPr>
          <w:sz w:val="24"/>
          <w:szCs w:val="24"/>
        </w:rPr>
        <w:t>2027.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2209"/>
        <w:gridCol w:w="2391"/>
        <w:gridCol w:w="2373"/>
        <w:gridCol w:w="1729"/>
      </w:tblGrid>
      <w:tr w:rsidR="000E7581" w:rsidRPr="001078C1" w14:paraId="69034892" w14:textId="4BC14424" w:rsidTr="000E7581">
        <w:tc>
          <w:tcPr>
            <w:tcW w:w="2209" w:type="dxa"/>
          </w:tcPr>
          <w:p w14:paraId="1B49EAC7" w14:textId="4715D5BF" w:rsidR="000E7581" w:rsidRPr="001078C1" w:rsidRDefault="000E7581" w:rsidP="00F26032">
            <w:pPr>
              <w:jc w:val="center"/>
              <w:rPr>
                <w:sz w:val="16"/>
                <w:szCs w:val="16"/>
              </w:rPr>
            </w:pPr>
            <w:r w:rsidRPr="001078C1">
              <w:rPr>
                <w:sz w:val="16"/>
                <w:szCs w:val="16"/>
              </w:rPr>
              <w:t>OPIS</w:t>
            </w:r>
          </w:p>
        </w:tc>
        <w:tc>
          <w:tcPr>
            <w:tcW w:w="2391" w:type="dxa"/>
          </w:tcPr>
          <w:p w14:paraId="7DC0872A" w14:textId="711483A9" w:rsidR="000E7581" w:rsidRPr="001078C1" w:rsidRDefault="000E7581" w:rsidP="00F26032">
            <w:pPr>
              <w:jc w:val="center"/>
              <w:rPr>
                <w:sz w:val="16"/>
                <w:szCs w:val="16"/>
              </w:rPr>
            </w:pPr>
            <w:r w:rsidRPr="001078C1">
              <w:rPr>
                <w:sz w:val="16"/>
                <w:szCs w:val="16"/>
              </w:rPr>
              <w:t>PLAN ZA PRORAČUNSKU GODINU</w:t>
            </w:r>
          </w:p>
        </w:tc>
        <w:tc>
          <w:tcPr>
            <w:tcW w:w="2373" w:type="dxa"/>
          </w:tcPr>
          <w:p w14:paraId="5E0E6345" w14:textId="3B504436" w:rsidR="000E7581" w:rsidRPr="001078C1" w:rsidRDefault="000E7581" w:rsidP="00243F78">
            <w:pPr>
              <w:rPr>
                <w:sz w:val="16"/>
                <w:szCs w:val="16"/>
              </w:rPr>
            </w:pPr>
            <w:r w:rsidRPr="001078C1">
              <w:rPr>
                <w:sz w:val="16"/>
                <w:szCs w:val="16"/>
              </w:rPr>
              <w:t>GODIŠNJE IZVRŠENJE PRORAČUNSKE GODINE</w:t>
            </w:r>
          </w:p>
        </w:tc>
        <w:tc>
          <w:tcPr>
            <w:tcW w:w="1729" w:type="dxa"/>
          </w:tcPr>
          <w:p w14:paraId="50600546" w14:textId="4AC7DDDD" w:rsidR="000E7581" w:rsidRPr="001078C1" w:rsidRDefault="000E7581" w:rsidP="000E7581">
            <w:pPr>
              <w:jc w:val="center"/>
              <w:rPr>
                <w:sz w:val="16"/>
                <w:szCs w:val="16"/>
              </w:rPr>
            </w:pPr>
            <w:r w:rsidRPr="001078C1">
              <w:rPr>
                <w:sz w:val="16"/>
                <w:szCs w:val="16"/>
              </w:rPr>
              <w:t>INDEX</w:t>
            </w:r>
          </w:p>
        </w:tc>
      </w:tr>
      <w:tr w:rsidR="000E7581" w:rsidRPr="001078C1" w14:paraId="1BE507FD" w14:textId="19B2740E" w:rsidTr="000E7581">
        <w:tc>
          <w:tcPr>
            <w:tcW w:w="2209" w:type="dxa"/>
          </w:tcPr>
          <w:p w14:paraId="3E040891" w14:textId="039D8931" w:rsidR="000E7581" w:rsidRPr="001078C1" w:rsidRDefault="000E7581" w:rsidP="00243F78">
            <w:pPr>
              <w:rPr>
                <w:sz w:val="16"/>
                <w:szCs w:val="16"/>
              </w:rPr>
            </w:pPr>
            <w:r w:rsidRPr="001078C1">
              <w:rPr>
                <w:sz w:val="16"/>
                <w:szCs w:val="16"/>
              </w:rPr>
              <w:t>SVEUKUPNI PRIHODI</w:t>
            </w:r>
          </w:p>
        </w:tc>
        <w:tc>
          <w:tcPr>
            <w:tcW w:w="2391" w:type="dxa"/>
          </w:tcPr>
          <w:p w14:paraId="3BC9825C" w14:textId="697CD41A" w:rsidR="000E7581" w:rsidRPr="001078C1" w:rsidRDefault="006B2F12" w:rsidP="00243F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1.834.600,00</w:t>
            </w:r>
          </w:p>
        </w:tc>
        <w:tc>
          <w:tcPr>
            <w:tcW w:w="2373" w:type="dxa"/>
          </w:tcPr>
          <w:p w14:paraId="3C9ADB8A" w14:textId="1510AA7C" w:rsidR="000E7581" w:rsidRPr="001078C1" w:rsidRDefault="0042282A" w:rsidP="00243F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1.896.476,41</w:t>
            </w:r>
          </w:p>
        </w:tc>
        <w:tc>
          <w:tcPr>
            <w:tcW w:w="1729" w:type="dxa"/>
          </w:tcPr>
          <w:p w14:paraId="6E1B0E02" w14:textId="7986674F" w:rsidR="000E7581" w:rsidRPr="001078C1" w:rsidRDefault="00381D04" w:rsidP="00243F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103,37%</w:t>
            </w:r>
          </w:p>
        </w:tc>
      </w:tr>
      <w:tr w:rsidR="000E7581" w:rsidRPr="001078C1" w14:paraId="1891FD30" w14:textId="1F7E6DF9" w:rsidTr="000E7581">
        <w:tc>
          <w:tcPr>
            <w:tcW w:w="2209" w:type="dxa"/>
          </w:tcPr>
          <w:p w14:paraId="3C7039FF" w14:textId="1C3B39D2" w:rsidR="000E7581" w:rsidRPr="001078C1" w:rsidRDefault="000E7581" w:rsidP="00243F78">
            <w:pPr>
              <w:rPr>
                <w:sz w:val="16"/>
                <w:szCs w:val="16"/>
              </w:rPr>
            </w:pPr>
            <w:r w:rsidRPr="001078C1">
              <w:rPr>
                <w:sz w:val="16"/>
                <w:szCs w:val="16"/>
              </w:rPr>
              <w:t>SVEUKUPNI RASHODI</w:t>
            </w:r>
          </w:p>
        </w:tc>
        <w:tc>
          <w:tcPr>
            <w:tcW w:w="2391" w:type="dxa"/>
          </w:tcPr>
          <w:p w14:paraId="386DB13F" w14:textId="49008451" w:rsidR="000E7581" w:rsidRPr="001078C1" w:rsidRDefault="006B2F12" w:rsidP="00243F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1.834.600,00</w:t>
            </w:r>
          </w:p>
        </w:tc>
        <w:tc>
          <w:tcPr>
            <w:tcW w:w="2373" w:type="dxa"/>
          </w:tcPr>
          <w:p w14:paraId="63358DE9" w14:textId="46E0B172" w:rsidR="000E7581" w:rsidRPr="001078C1" w:rsidRDefault="0042282A" w:rsidP="00243F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2.051.301,54</w:t>
            </w:r>
          </w:p>
        </w:tc>
        <w:tc>
          <w:tcPr>
            <w:tcW w:w="1729" w:type="dxa"/>
          </w:tcPr>
          <w:p w14:paraId="504DAE2A" w14:textId="563D6DBF" w:rsidR="000E7581" w:rsidRPr="001078C1" w:rsidRDefault="00743298" w:rsidP="00243F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111,81%</w:t>
            </w:r>
          </w:p>
        </w:tc>
      </w:tr>
    </w:tbl>
    <w:p w14:paraId="1456766B" w14:textId="6560C24A" w:rsidR="009E65C3" w:rsidRPr="001078C1" w:rsidRDefault="009E65C3" w:rsidP="00243F78">
      <w:pPr>
        <w:ind w:left="360"/>
        <w:rPr>
          <w:sz w:val="16"/>
          <w:szCs w:val="16"/>
        </w:rPr>
      </w:pPr>
    </w:p>
    <w:p w14:paraId="2885F58A" w14:textId="2D16A050" w:rsidR="00597A9A" w:rsidRDefault="009A7ADB" w:rsidP="009A7ADB">
      <w:pPr>
        <w:rPr>
          <w:sz w:val="24"/>
          <w:szCs w:val="24"/>
        </w:rPr>
      </w:pPr>
      <w:r>
        <w:rPr>
          <w:sz w:val="24"/>
          <w:szCs w:val="24"/>
        </w:rPr>
        <w:t>Sveukupni prihodi za proračunsku</w:t>
      </w:r>
      <w:r w:rsidR="004919A1">
        <w:rPr>
          <w:sz w:val="24"/>
          <w:szCs w:val="24"/>
        </w:rPr>
        <w:t xml:space="preserve"> godinu ostvareni su u iznosu od</w:t>
      </w:r>
      <w:r w:rsidR="00743298">
        <w:rPr>
          <w:sz w:val="24"/>
          <w:szCs w:val="24"/>
        </w:rPr>
        <w:t xml:space="preserve"> 1.896.476,61</w:t>
      </w:r>
      <w:r w:rsidR="00E213C9">
        <w:rPr>
          <w:sz w:val="24"/>
          <w:szCs w:val="24"/>
        </w:rPr>
        <w:t xml:space="preserve"> EUR što je 10</w:t>
      </w:r>
      <w:r w:rsidR="00743298">
        <w:rPr>
          <w:sz w:val="24"/>
          <w:szCs w:val="24"/>
        </w:rPr>
        <w:t>3</w:t>
      </w:r>
      <w:r w:rsidR="00E213C9">
        <w:rPr>
          <w:sz w:val="24"/>
          <w:szCs w:val="24"/>
        </w:rPr>
        <w:t>,</w:t>
      </w:r>
      <w:r w:rsidR="00743298">
        <w:rPr>
          <w:sz w:val="24"/>
          <w:szCs w:val="24"/>
        </w:rPr>
        <w:t>37</w:t>
      </w:r>
      <w:r w:rsidR="00E213C9">
        <w:rPr>
          <w:sz w:val="24"/>
          <w:szCs w:val="24"/>
        </w:rPr>
        <w:t>% izvršenja financijskog plana za 202</w:t>
      </w:r>
      <w:r w:rsidR="00212B21">
        <w:rPr>
          <w:sz w:val="24"/>
          <w:szCs w:val="24"/>
        </w:rPr>
        <w:t>5</w:t>
      </w:r>
      <w:r w:rsidR="00E213C9">
        <w:rPr>
          <w:sz w:val="24"/>
          <w:szCs w:val="24"/>
        </w:rPr>
        <w:t>. godinu</w:t>
      </w:r>
      <w:r w:rsidR="002A618C">
        <w:rPr>
          <w:sz w:val="24"/>
          <w:szCs w:val="24"/>
        </w:rPr>
        <w:t xml:space="preserve">, dok su sveukupni rashodi poslovanja  ostvareni u iznosu </w:t>
      </w:r>
      <w:r w:rsidR="002D62A8">
        <w:rPr>
          <w:sz w:val="24"/>
          <w:szCs w:val="24"/>
        </w:rPr>
        <w:t xml:space="preserve">od </w:t>
      </w:r>
      <w:r w:rsidR="00743298">
        <w:rPr>
          <w:sz w:val="24"/>
          <w:szCs w:val="24"/>
        </w:rPr>
        <w:t>2.051.301,54</w:t>
      </w:r>
      <w:r w:rsidR="002D62A8">
        <w:rPr>
          <w:sz w:val="24"/>
          <w:szCs w:val="24"/>
        </w:rPr>
        <w:t xml:space="preserve"> EUR što je 1</w:t>
      </w:r>
      <w:r w:rsidR="00743298">
        <w:rPr>
          <w:sz w:val="24"/>
          <w:szCs w:val="24"/>
        </w:rPr>
        <w:t>11</w:t>
      </w:r>
      <w:r w:rsidR="002D62A8">
        <w:rPr>
          <w:sz w:val="24"/>
          <w:szCs w:val="24"/>
        </w:rPr>
        <w:t>,</w:t>
      </w:r>
      <w:r w:rsidR="001B2DF4">
        <w:rPr>
          <w:sz w:val="24"/>
          <w:szCs w:val="24"/>
        </w:rPr>
        <w:t>81</w:t>
      </w:r>
      <w:r w:rsidR="002D62A8">
        <w:rPr>
          <w:sz w:val="24"/>
          <w:szCs w:val="24"/>
        </w:rPr>
        <w:t>%</w:t>
      </w:r>
      <w:r w:rsidR="00033491">
        <w:rPr>
          <w:sz w:val="24"/>
          <w:szCs w:val="24"/>
        </w:rPr>
        <w:t xml:space="preserve"> izvršenja financijskog plana za 202</w:t>
      </w:r>
      <w:r w:rsidR="00212B21">
        <w:rPr>
          <w:sz w:val="24"/>
          <w:szCs w:val="24"/>
        </w:rPr>
        <w:t>5</w:t>
      </w:r>
      <w:r w:rsidR="00033491">
        <w:rPr>
          <w:sz w:val="24"/>
          <w:szCs w:val="24"/>
        </w:rPr>
        <w:t>. godinu.</w:t>
      </w:r>
    </w:p>
    <w:p w14:paraId="509195E4" w14:textId="77777777" w:rsidR="001B2DF4" w:rsidRDefault="001B2DF4" w:rsidP="009A7ADB">
      <w:pPr>
        <w:rPr>
          <w:b/>
          <w:bCs/>
          <w:sz w:val="24"/>
          <w:szCs w:val="24"/>
        </w:rPr>
      </w:pPr>
    </w:p>
    <w:p w14:paraId="6074E805" w14:textId="77777777" w:rsidR="001B2DF4" w:rsidRDefault="001B2DF4" w:rsidP="009A7ADB">
      <w:pPr>
        <w:rPr>
          <w:b/>
          <w:bCs/>
          <w:sz w:val="24"/>
          <w:szCs w:val="24"/>
        </w:rPr>
      </w:pPr>
    </w:p>
    <w:p w14:paraId="1B3449C9" w14:textId="77777777" w:rsidR="001B2DF4" w:rsidRDefault="001B2DF4" w:rsidP="009A7ADB">
      <w:pPr>
        <w:rPr>
          <w:b/>
          <w:bCs/>
          <w:sz w:val="24"/>
          <w:szCs w:val="24"/>
        </w:rPr>
      </w:pPr>
    </w:p>
    <w:p w14:paraId="0EBF2A16" w14:textId="7FF5FE93" w:rsidR="00B71EFF" w:rsidRPr="00B71EFF" w:rsidRDefault="00B71EFF" w:rsidP="009A7ADB">
      <w:pPr>
        <w:rPr>
          <w:b/>
          <w:bCs/>
          <w:sz w:val="24"/>
          <w:szCs w:val="24"/>
        </w:rPr>
      </w:pPr>
      <w:r w:rsidRPr="00B71EFF">
        <w:rPr>
          <w:b/>
          <w:bCs/>
          <w:sz w:val="24"/>
          <w:szCs w:val="24"/>
        </w:rPr>
        <w:t>KRATKI PRIKAZ POKAZATELJA POSLOVANJ</w:t>
      </w:r>
      <w:r w:rsidR="007732A1">
        <w:rPr>
          <w:b/>
          <w:bCs/>
          <w:sz w:val="24"/>
          <w:szCs w:val="24"/>
        </w:rPr>
        <w:t>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3411"/>
      </w:tblGrid>
      <w:tr w:rsidR="007732A1" w:rsidRPr="001078C1" w14:paraId="7EB92E0F" w14:textId="77777777" w:rsidTr="007732A1">
        <w:tc>
          <w:tcPr>
            <w:tcW w:w="2830" w:type="dxa"/>
          </w:tcPr>
          <w:p w14:paraId="35B2EF04" w14:textId="16BD7D03" w:rsidR="007732A1" w:rsidRPr="001078C1" w:rsidRDefault="007732A1" w:rsidP="007732A1">
            <w:pPr>
              <w:jc w:val="center"/>
              <w:rPr>
                <w:sz w:val="18"/>
                <w:szCs w:val="18"/>
              </w:rPr>
            </w:pPr>
            <w:r w:rsidRPr="001078C1">
              <w:rPr>
                <w:sz w:val="18"/>
                <w:szCs w:val="18"/>
              </w:rPr>
              <w:t>Ukupni prihodi i primici</w:t>
            </w:r>
          </w:p>
        </w:tc>
        <w:tc>
          <w:tcPr>
            <w:tcW w:w="3411" w:type="dxa"/>
          </w:tcPr>
          <w:p w14:paraId="2C8829D2" w14:textId="19A232A8" w:rsidR="007732A1" w:rsidRPr="001078C1" w:rsidRDefault="00272B8A" w:rsidP="00773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1.896.476,41</w:t>
            </w:r>
          </w:p>
        </w:tc>
      </w:tr>
      <w:tr w:rsidR="007732A1" w:rsidRPr="001078C1" w14:paraId="70010E94" w14:textId="77777777" w:rsidTr="007732A1">
        <w:tc>
          <w:tcPr>
            <w:tcW w:w="2830" w:type="dxa"/>
          </w:tcPr>
          <w:p w14:paraId="2128EE50" w14:textId="06D486AF" w:rsidR="007732A1" w:rsidRPr="001078C1" w:rsidRDefault="007732A1" w:rsidP="007732A1">
            <w:pPr>
              <w:jc w:val="center"/>
              <w:rPr>
                <w:sz w:val="18"/>
                <w:szCs w:val="18"/>
              </w:rPr>
            </w:pPr>
            <w:r w:rsidRPr="001078C1">
              <w:rPr>
                <w:sz w:val="18"/>
                <w:szCs w:val="18"/>
              </w:rPr>
              <w:t>Ukupni rashodi</w:t>
            </w:r>
          </w:p>
        </w:tc>
        <w:tc>
          <w:tcPr>
            <w:tcW w:w="3411" w:type="dxa"/>
          </w:tcPr>
          <w:p w14:paraId="3A4B2617" w14:textId="221C27CC" w:rsidR="007732A1" w:rsidRPr="00272B8A" w:rsidRDefault="008C693A" w:rsidP="00272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2.051.301,54</w:t>
            </w:r>
          </w:p>
        </w:tc>
      </w:tr>
      <w:tr w:rsidR="007732A1" w:rsidRPr="001078C1" w14:paraId="52AE1F18" w14:textId="77777777" w:rsidTr="007732A1">
        <w:tc>
          <w:tcPr>
            <w:tcW w:w="2830" w:type="dxa"/>
          </w:tcPr>
          <w:p w14:paraId="739935E1" w14:textId="396BCB0D" w:rsidR="007732A1" w:rsidRPr="001078C1" w:rsidRDefault="002B2A63" w:rsidP="000F5A94">
            <w:pPr>
              <w:jc w:val="center"/>
              <w:rPr>
                <w:sz w:val="18"/>
                <w:szCs w:val="18"/>
              </w:rPr>
            </w:pPr>
            <w:r w:rsidRPr="001078C1">
              <w:rPr>
                <w:sz w:val="18"/>
                <w:szCs w:val="18"/>
              </w:rPr>
              <w:t>Manjak prihoda i primitaka</w:t>
            </w:r>
          </w:p>
        </w:tc>
        <w:tc>
          <w:tcPr>
            <w:tcW w:w="3411" w:type="dxa"/>
          </w:tcPr>
          <w:p w14:paraId="57B4EB27" w14:textId="0884DB85" w:rsidR="007732A1" w:rsidRPr="001078C1" w:rsidRDefault="00EE079C" w:rsidP="000F5A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6076E">
              <w:rPr>
                <w:sz w:val="18"/>
                <w:szCs w:val="18"/>
              </w:rPr>
              <w:t>54.825,13</w:t>
            </w:r>
          </w:p>
        </w:tc>
      </w:tr>
      <w:tr w:rsidR="007732A1" w:rsidRPr="001078C1" w14:paraId="798E06D5" w14:textId="77777777" w:rsidTr="007732A1">
        <w:tc>
          <w:tcPr>
            <w:tcW w:w="2830" w:type="dxa"/>
          </w:tcPr>
          <w:p w14:paraId="7CEBB315" w14:textId="431E42F5" w:rsidR="007732A1" w:rsidRPr="001078C1" w:rsidRDefault="004E297A" w:rsidP="004E297A">
            <w:pPr>
              <w:jc w:val="center"/>
              <w:rPr>
                <w:sz w:val="18"/>
                <w:szCs w:val="18"/>
              </w:rPr>
            </w:pPr>
            <w:r w:rsidRPr="001078C1">
              <w:rPr>
                <w:sz w:val="18"/>
                <w:szCs w:val="18"/>
              </w:rPr>
              <w:t>Višak prihoda i primitaka - preneseni</w:t>
            </w:r>
          </w:p>
        </w:tc>
        <w:tc>
          <w:tcPr>
            <w:tcW w:w="3411" w:type="dxa"/>
          </w:tcPr>
          <w:p w14:paraId="794224E3" w14:textId="07E24157" w:rsidR="007732A1" w:rsidRPr="001078C1" w:rsidRDefault="0026076E" w:rsidP="004E2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29.306,09</w:t>
            </w:r>
          </w:p>
        </w:tc>
      </w:tr>
      <w:tr w:rsidR="007732A1" w:rsidRPr="001078C1" w14:paraId="6F810871" w14:textId="77777777" w:rsidTr="007732A1">
        <w:tc>
          <w:tcPr>
            <w:tcW w:w="2830" w:type="dxa"/>
          </w:tcPr>
          <w:p w14:paraId="58A908A5" w14:textId="03902301" w:rsidR="007732A1" w:rsidRPr="001078C1" w:rsidRDefault="00906EF8" w:rsidP="00906EF8">
            <w:pPr>
              <w:jc w:val="center"/>
              <w:rPr>
                <w:sz w:val="18"/>
                <w:szCs w:val="18"/>
              </w:rPr>
            </w:pPr>
            <w:r w:rsidRPr="001078C1">
              <w:rPr>
                <w:sz w:val="18"/>
                <w:szCs w:val="18"/>
              </w:rPr>
              <w:t>Manjak prihoda i primitaka za pokriće u sljedećem razdoblju</w:t>
            </w:r>
          </w:p>
        </w:tc>
        <w:tc>
          <w:tcPr>
            <w:tcW w:w="3411" w:type="dxa"/>
          </w:tcPr>
          <w:p w14:paraId="67BD981A" w14:textId="7294E5E0" w:rsidR="007732A1" w:rsidRPr="001078C1" w:rsidRDefault="00693F4D" w:rsidP="00FE4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125.519,04</w:t>
            </w:r>
          </w:p>
        </w:tc>
      </w:tr>
    </w:tbl>
    <w:p w14:paraId="48C6D21A" w14:textId="7E48C038" w:rsidR="00B71EFF" w:rsidRDefault="00B71EFF" w:rsidP="009A7ADB">
      <w:pPr>
        <w:rPr>
          <w:b/>
          <w:bCs/>
          <w:sz w:val="24"/>
          <w:szCs w:val="24"/>
        </w:rPr>
      </w:pPr>
    </w:p>
    <w:p w14:paraId="376A662F" w14:textId="2D1D3910" w:rsidR="00480640" w:rsidRDefault="00480640" w:rsidP="009A7AD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POSEBNI DIO</w:t>
      </w:r>
    </w:p>
    <w:p w14:paraId="38E27E69" w14:textId="5D1FEA03" w:rsidR="00480640" w:rsidRDefault="003308C1" w:rsidP="00480640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OBRAZLOŽENJE IZVRŠENJA</w:t>
      </w:r>
      <w:r w:rsidR="00A91C48">
        <w:rPr>
          <w:b/>
          <w:bCs/>
          <w:sz w:val="24"/>
          <w:szCs w:val="24"/>
        </w:rPr>
        <w:t xml:space="preserve"> FINANCIJSKOG</w:t>
      </w:r>
      <w:r>
        <w:rPr>
          <w:b/>
          <w:bCs/>
          <w:sz w:val="24"/>
          <w:szCs w:val="24"/>
        </w:rPr>
        <w:t xml:space="preserve"> PLANA, OSTVAR</w:t>
      </w:r>
      <w:r w:rsidR="00A91C48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NJA PRIHODA</w:t>
      </w:r>
      <w:r w:rsidR="00372B56">
        <w:rPr>
          <w:b/>
          <w:bCs/>
          <w:sz w:val="24"/>
          <w:szCs w:val="24"/>
        </w:rPr>
        <w:t xml:space="preserve"> I PRIMITAKA, RASHODA I IZDATAKA IZ REDOVNE AKTIVNOSTI</w:t>
      </w:r>
    </w:p>
    <w:p w14:paraId="5593DBCB" w14:textId="6EBC8398" w:rsidR="00A91B26" w:rsidRDefault="003428C7" w:rsidP="003428C7">
      <w:pPr>
        <w:pStyle w:val="Odlomakpopisa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PRIHODI POSLOVANJA</w:t>
      </w:r>
    </w:p>
    <w:p w14:paraId="62852B3B" w14:textId="2B1BBAB8" w:rsidR="00A91B26" w:rsidRDefault="00850E46" w:rsidP="00A91B2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Prihodi poslovanja iz nadležnog proračuna </w:t>
      </w:r>
      <w:r w:rsidR="00DD7E9E">
        <w:rPr>
          <w:sz w:val="24"/>
          <w:szCs w:val="24"/>
        </w:rPr>
        <w:t xml:space="preserve">Grada Zagreba planirani su za financiranje rashoda poslovanja u iznosu </w:t>
      </w:r>
      <w:r w:rsidR="00CB361B">
        <w:rPr>
          <w:sz w:val="24"/>
          <w:szCs w:val="24"/>
        </w:rPr>
        <w:t xml:space="preserve">od </w:t>
      </w:r>
      <w:r w:rsidR="007052E9">
        <w:rPr>
          <w:sz w:val="24"/>
          <w:szCs w:val="24"/>
        </w:rPr>
        <w:t>455.000,00</w:t>
      </w:r>
      <w:r w:rsidR="006539E1">
        <w:rPr>
          <w:sz w:val="24"/>
          <w:szCs w:val="24"/>
        </w:rPr>
        <w:t xml:space="preserve"> </w:t>
      </w:r>
      <w:r w:rsidR="00047AE3">
        <w:rPr>
          <w:sz w:val="24"/>
          <w:szCs w:val="24"/>
        </w:rPr>
        <w:t>EUR</w:t>
      </w:r>
      <w:r w:rsidR="006539E1">
        <w:rPr>
          <w:sz w:val="24"/>
          <w:szCs w:val="24"/>
        </w:rPr>
        <w:t>, a ostvareni su u iznosu od</w:t>
      </w:r>
      <w:r w:rsidR="000D0F8B">
        <w:rPr>
          <w:sz w:val="24"/>
          <w:szCs w:val="24"/>
        </w:rPr>
        <w:t xml:space="preserve"> </w:t>
      </w:r>
      <w:r w:rsidR="00FA727F">
        <w:rPr>
          <w:sz w:val="24"/>
          <w:szCs w:val="24"/>
        </w:rPr>
        <w:t>410.313,07</w:t>
      </w:r>
      <w:r w:rsidR="000D0F8B">
        <w:rPr>
          <w:sz w:val="24"/>
          <w:szCs w:val="24"/>
        </w:rPr>
        <w:t xml:space="preserve"> </w:t>
      </w:r>
      <w:r w:rsidR="00047AE3">
        <w:rPr>
          <w:sz w:val="24"/>
          <w:szCs w:val="24"/>
        </w:rPr>
        <w:t>EUR.</w:t>
      </w:r>
    </w:p>
    <w:p w14:paraId="59A43D69" w14:textId="4BEAEB20" w:rsidR="005B03DF" w:rsidRDefault="00D84AAF" w:rsidP="00A91B2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Pomoći iz proračuna</w:t>
      </w:r>
      <w:r w:rsidR="00DD13CE">
        <w:rPr>
          <w:sz w:val="24"/>
          <w:szCs w:val="24"/>
        </w:rPr>
        <w:t xml:space="preserve"> koji im nije nadležan</w:t>
      </w:r>
      <w:r>
        <w:rPr>
          <w:sz w:val="24"/>
          <w:szCs w:val="24"/>
        </w:rPr>
        <w:t xml:space="preserve"> </w:t>
      </w:r>
      <w:r w:rsidR="008E7A1D">
        <w:rPr>
          <w:sz w:val="24"/>
          <w:szCs w:val="24"/>
        </w:rPr>
        <w:t>planiran</w:t>
      </w:r>
      <w:r w:rsidR="00BB45E1">
        <w:rPr>
          <w:sz w:val="24"/>
          <w:szCs w:val="24"/>
        </w:rPr>
        <w:t>i</w:t>
      </w:r>
      <w:r w:rsidR="008E7A1D">
        <w:rPr>
          <w:sz w:val="24"/>
          <w:szCs w:val="24"/>
        </w:rPr>
        <w:t xml:space="preserve"> su </w:t>
      </w:r>
      <w:r w:rsidR="008209A6">
        <w:rPr>
          <w:sz w:val="24"/>
          <w:szCs w:val="24"/>
        </w:rPr>
        <w:t xml:space="preserve">prihodi </w:t>
      </w:r>
      <w:r w:rsidR="008E7A1D">
        <w:rPr>
          <w:sz w:val="24"/>
          <w:szCs w:val="24"/>
        </w:rPr>
        <w:t>u iznosu od</w:t>
      </w:r>
      <w:r w:rsidR="00391B91">
        <w:rPr>
          <w:sz w:val="24"/>
          <w:szCs w:val="24"/>
        </w:rPr>
        <w:t xml:space="preserve"> 1.313.200,00</w:t>
      </w:r>
      <w:r w:rsidR="00F144DA">
        <w:rPr>
          <w:sz w:val="24"/>
          <w:szCs w:val="24"/>
        </w:rPr>
        <w:t xml:space="preserve"> </w:t>
      </w:r>
      <w:r w:rsidR="002B5464">
        <w:rPr>
          <w:sz w:val="24"/>
          <w:szCs w:val="24"/>
        </w:rPr>
        <w:t>EUR, a ostv</w:t>
      </w:r>
      <w:r w:rsidR="0034731C">
        <w:rPr>
          <w:sz w:val="24"/>
          <w:szCs w:val="24"/>
        </w:rPr>
        <w:t xml:space="preserve">areni su u iznosu od </w:t>
      </w:r>
      <w:r w:rsidR="00391B91">
        <w:rPr>
          <w:sz w:val="24"/>
          <w:szCs w:val="24"/>
        </w:rPr>
        <w:t xml:space="preserve">1.408.970,74 </w:t>
      </w:r>
      <w:r w:rsidR="0034731C">
        <w:rPr>
          <w:sz w:val="24"/>
          <w:szCs w:val="24"/>
        </w:rPr>
        <w:t xml:space="preserve"> EUR</w:t>
      </w:r>
      <w:r w:rsidR="00BC79C5">
        <w:rPr>
          <w:sz w:val="24"/>
          <w:szCs w:val="24"/>
        </w:rPr>
        <w:t xml:space="preserve">. Vlastiti prihodi od  pruženih usluga </w:t>
      </w:r>
      <w:r w:rsidR="00E60C39">
        <w:rPr>
          <w:sz w:val="24"/>
          <w:szCs w:val="24"/>
        </w:rPr>
        <w:t xml:space="preserve">planirani su u iznosu od </w:t>
      </w:r>
      <w:r w:rsidR="00F144DA">
        <w:rPr>
          <w:sz w:val="24"/>
          <w:szCs w:val="24"/>
        </w:rPr>
        <w:t>12</w:t>
      </w:r>
      <w:r w:rsidR="005B62F7">
        <w:rPr>
          <w:sz w:val="24"/>
          <w:szCs w:val="24"/>
        </w:rPr>
        <w:t>.</w:t>
      </w:r>
      <w:r w:rsidR="002872AA">
        <w:rPr>
          <w:sz w:val="24"/>
          <w:szCs w:val="24"/>
        </w:rPr>
        <w:t xml:space="preserve">800,00 EUR, a ostvareni su </w:t>
      </w:r>
      <w:r w:rsidR="00841C38">
        <w:rPr>
          <w:sz w:val="24"/>
          <w:szCs w:val="24"/>
        </w:rPr>
        <w:t>u</w:t>
      </w:r>
      <w:r w:rsidR="002872AA">
        <w:rPr>
          <w:sz w:val="24"/>
          <w:szCs w:val="24"/>
        </w:rPr>
        <w:t xml:space="preserve"> iznosu od</w:t>
      </w:r>
      <w:r w:rsidR="00C9508B">
        <w:rPr>
          <w:sz w:val="24"/>
          <w:szCs w:val="24"/>
        </w:rPr>
        <w:t xml:space="preserve"> </w:t>
      </w:r>
      <w:r w:rsidR="00350FEF">
        <w:rPr>
          <w:sz w:val="24"/>
          <w:szCs w:val="24"/>
        </w:rPr>
        <w:t>18.616,35</w:t>
      </w:r>
      <w:r w:rsidR="00C9508B">
        <w:rPr>
          <w:sz w:val="24"/>
          <w:szCs w:val="24"/>
        </w:rPr>
        <w:t xml:space="preserve"> EUR.</w:t>
      </w:r>
    </w:p>
    <w:p w14:paraId="565116CD" w14:textId="5C8FDF2E" w:rsidR="00C9508B" w:rsidRDefault="00C9508B" w:rsidP="00A91B2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Donacije za Osnovnu školu Hrvatski Leskovac planirane su u iznosu od</w:t>
      </w:r>
      <w:r w:rsidR="00634203">
        <w:rPr>
          <w:sz w:val="24"/>
          <w:szCs w:val="24"/>
        </w:rPr>
        <w:t xml:space="preserve"> </w:t>
      </w:r>
      <w:r w:rsidR="00F5089C">
        <w:rPr>
          <w:sz w:val="24"/>
          <w:szCs w:val="24"/>
        </w:rPr>
        <w:t>1.600,00</w:t>
      </w:r>
      <w:r w:rsidR="00634203">
        <w:rPr>
          <w:sz w:val="24"/>
          <w:szCs w:val="24"/>
        </w:rPr>
        <w:t xml:space="preserve"> 00 EUR</w:t>
      </w:r>
      <w:r w:rsidR="00412ED4">
        <w:rPr>
          <w:sz w:val="24"/>
          <w:szCs w:val="24"/>
        </w:rPr>
        <w:t xml:space="preserve">, a ostvarene su u iznosu od </w:t>
      </w:r>
      <w:r w:rsidR="00F5089C">
        <w:rPr>
          <w:sz w:val="24"/>
          <w:szCs w:val="24"/>
        </w:rPr>
        <w:t>620,00</w:t>
      </w:r>
      <w:r w:rsidR="00412ED4">
        <w:rPr>
          <w:sz w:val="24"/>
          <w:szCs w:val="24"/>
        </w:rPr>
        <w:t xml:space="preserve"> EUR </w:t>
      </w:r>
      <w:r w:rsidR="00000451">
        <w:rPr>
          <w:sz w:val="24"/>
          <w:szCs w:val="24"/>
        </w:rPr>
        <w:t>koji su</w:t>
      </w:r>
      <w:r w:rsidR="00F5089C">
        <w:rPr>
          <w:sz w:val="24"/>
          <w:szCs w:val="24"/>
        </w:rPr>
        <w:t xml:space="preserve"> utrošen</w:t>
      </w:r>
      <w:r w:rsidR="00000451">
        <w:rPr>
          <w:sz w:val="24"/>
          <w:szCs w:val="24"/>
        </w:rPr>
        <w:t>i</w:t>
      </w:r>
      <w:r w:rsidR="00F5089C">
        <w:rPr>
          <w:sz w:val="24"/>
          <w:szCs w:val="24"/>
        </w:rPr>
        <w:t xml:space="preserve"> za služben</w:t>
      </w:r>
      <w:r w:rsidR="00000451">
        <w:rPr>
          <w:sz w:val="24"/>
          <w:szCs w:val="24"/>
        </w:rPr>
        <w:t>a</w:t>
      </w:r>
      <w:r w:rsidR="00F5089C">
        <w:rPr>
          <w:sz w:val="24"/>
          <w:szCs w:val="24"/>
        </w:rPr>
        <w:t xml:space="preserve"> putovanj</w:t>
      </w:r>
      <w:r w:rsidR="00000451">
        <w:rPr>
          <w:sz w:val="24"/>
          <w:szCs w:val="24"/>
        </w:rPr>
        <w:t>a i stručna usavršavanja zaposlenika Osnovne škole Hrvatski Leskovac.</w:t>
      </w:r>
    </w:p>
    <w:p w14:paraId="5B8CBAD0" w14:textId="0E4AFB2D" w:rsidR="00412ED4" w:rsidRDefault="00FB6588" w:rsidP="00A91B2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Planirane su uplate od roditelja/skrbnika za školsku kuhinju i pro</w:t>
      </w:r>
      <w:r w:rsidR="001B770D">
        <w:rPr>
          <w:sz w:val="24"/>
          <w:szCs w:val="24"/>
        </w:rPr>
        <w:t xml:space="preserve">duženi boravak u iznosu od </w:t>
      </w:r>
      <w:r w:rsidR="005762AA">
        <w:rPr>
          <w:sz w:val="24"/>
          <w:szCs w:val="24"/>
        </w:rPr>
        <w:t>52.000,00</w:t>
      </w:r>
      <w:r w:rsidR="00B81C1A">
        <w:rPr>
          <w:sz w:val="24"/>
          <w:szCs w:val="24"/>
        </w:rPr>
        <w:t xml:space="preserve"> EUR, a ostvareni su </w:t>
      </w:r>
      <w:r w:rsidR="00FC6ACA">
        <w:rPr>
          <w:sz w:val="24"/>
          <w:szCs w:val="24"/>
        </w:rPr>
        <w:t>u</w:t>
      </w:r>
      <w:r w:rsidR="00B81C1A">
        <w:rPr>
          <w:sz w:val="24"/>
          <w:szCs w:val="24"/>
        </w:rPr>
        <w:t xml:space="preserve"> iznosu od</w:t>
      </w:r>
      <w:r w:rsidR="00F53E9F">
        <w:rPr>
          <w:sz w:val="24"/>
          <w:szCs w:val="24"/>
        </w:rPr>
        <w:t xml:space="preserve"> </w:t>
      </w:r>
      <w:r w:rsidR="005762AA">
        <w:rPr>
          <w:sz w:val="24"/>
          <w:szCs w:val="24"/>
        </w:rPr>
        <w:t xml:space="preserve">57.840,25 </w:t>
      </w:r>
      <w:r w:rsidR="00F53E9F">
        <w:rPr>
          <w:sz w:val="24"/>
          <w:szCs w:val="24"/>
        </w:rPr>
        <w:t xml:space="preserve"> EUR.</w:t>
      </w:r>
    </w:p>
    <w:p w14:paraId="206EDD6F" w14:textId="59D5EF0D" w:rsidR="003428C7" w:rsidRDefault="003428C7" w:rsidP="00C22B26">
      <w:pPr>
        <w:pStyle w:val="Odlomakpopisa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RAS</w:t>
      </w:r>
      <w:r w:rsidR="00C22B26">
        <w:rPr>
          <w:b/>
          <w:bCs/>
          <w:sz w:val="24"/>
          <w:szCs w:val="24"/>
        </w:rPr>
        <w:t>HODI POSLOVANJA</w:t>
      </w:r>
    </w:p>
    <w:p w14:paraId="5D591835" w14:textId="05331608" w:rsidR="00E26080" w:rsidRPr="00722D44" w:rsidRDefault="00722D44" w:rsidP="00E26080">
      <w:pPr>
        <w:ind w:left="720"/>
        <w:rPr>
          <w:sz w:val="24"/>
          <w:szCs w:val="24"/>
        </w:rPr>
      </w:pPr>
      <w:r>
        <w:rPr>
          <w:sz w:val="24"/>
          <w:szCs w:val="24"/>
        </w:rPr>
        <w:t>Rashodi za z</w:t>
      </w:r>
      <w:r w:rsidR="00510A7A">
        <w:rPr>
          <w:sz w:val="24"/>
          <w:szCs w:val="24"/>
        </w:rPr>
        <w:t xml:space="preserve">aposlene i ukupno izvršenje materijalnih rashoda iznose </w:t>
      </w:r>
      <w:r w:rsidR="00E64047">
        <w:rPr>
          <w:sz w:val="24"/>
          <w:szCs w:val="24"/>
        </w:rPr>
        <w:t>2.051.301,54</w:t>
      </w:r>
      <w:r w:rsidR="00510A7A">
        <w:rPr>
          <w:sz w:val="24"/>
          <w:szCs w:val="24"/>
        </w:rPr>
        <w:t xml:space="preserve"> EUR </w:t>
      </w:r>
      <w:r w:rsidR="005B6D3E">
        <w:rPr>
          <w:sz w:val="24"/>
          <w:szCs w:val="24"/>
        </w:rPr>
        <w:t>u odnosu na planirani iznos u financijskom planu za 20</w:t>
      </w:r>
      <w:r w:rsidR="005762AA">
        <w:rPr>
          <w:sz w:val="24"/>
          <w:szCs w:val="24"/>
        </w:rPr>
        <w:t>25</w:t>
      </w:r>
      <w:r w:rsidR="005B6D3E">
        <w:rPr>
          <w:sz w:val="24"/>
          <w:szCs w:val="24"/>
        </w:rPr>
        <w:t>. godin</w:t>
      </w:r>
      <w:r w:rsidR="00F75A20">
        <w:rPr>
          <w:sz w:val="24"/>
          <w:szCs w:val="24"/>
        </w:rPr>
        <w:t>u,</w:t>
      </w:r>
      <w:r w:rsidR="005B6D3E">
        <w:rPr>
          <w:sz w:val="24"/>
          <w:szCs w:val="24"/>
        </w:rPr>
        <w:t xml:space="preserve"> gdje su planirani u iznosu od </w:t>
      </w:r>
      <w:r w:rsidR="00E64047">
        <w:rPr>
          <w:sz w:val="24"/>
          <w:szCs w:val="24"/>
        </w:rPr>
        <w:t>1.834.000</w:t>
      </w:r>
      <w:r w:rsidR="00F75A20">
        <w:rPr>
          <w:sz w:val="24"/>
          <w:szCs w:val="24"/>
        </w:rPr>
        <w:t>,</w:t>
      </w:r>
      <w:r w:rsidR="00E64047">
        <w:rPr>
          <w:sz w:val="24"/>
          <w:szCs w:val="24"/>
        </w:rPr>
        <w:t>00</w:t>
      </w:r>
      <w:r w:rsidR="00B50CE0">
        <w:rPr>
          <w:sz w:val="24"/>
          <w:szCs w:val="24"/>
        </w:rPr>
        <w:t xml:space="preserve"> EUR</w:t>
      </w:r>
      <w:r w:rsidR="00907C08">
        <w:rPr>
          <w:sz w:val="24"/>
          <w:szCs w:val="24"/>
        </w:rPr>
        <w:t>. Razlog odstupanj</w:t>
      </w:r>
      <w:r w:rsidR="00F75A20">
        <w:rPr>
          <w:sz w:val="24"/>
          <w:szCs w:val="24"/>
        </w:rPr>
        <w:t>a</w:t>
      </w:r>
      <w:r w:rsidR="00907C08">
        <w:rPr>
          <w:sz w:val="24"/>
          <w:szCs w:val="24"/>
        </w:rPr>
        <w:t xml:space="preserve"> je povećanje obračunske osnovice i privremenog dodatka za zaposlenike, povećanje cijena sirovina i materijala, energenata</w:t>
      </w:r>
      <w:r w:rsidR="006837C3">
        <w:rPr>
          <w:sz w:val="24"/>
          <w:szCs w:val="24"/>
        </w:rPr>
        <w:t xml:space="preserve"> i povećanje nabave opreme za potrebe redovitog poslovanja</w:t>
      </w:r>
      <w:r w:rsidR="00E64047">
        <w:rPr>
          <w:sz w:val="24"/>
          <w:szCs w:val="24"/>
        </w:rPr>
        <w:t>, te povećanja odlaska na stručna usavršavanja zaposlenika</w:t>
      </w:r>
      <w:r w:rsidR="00203D22">
        <w:rPr>
          <w:sz w:val="24"/>
          <w:szCs w:val="24"/>
        </w:rPr>
        <w:t>,</w:t>
      </w:r>
      <w:r w:rsidR="00E64047">
        <w:rPr>
          <w:sz w:val="24"/>
          <w:szCs w:val="24"/>
        </w:rPr>
        <w:t xml:space="preserve"> te time i povećanja službenih putovanja.</w:t>
      </w:r>
    </w:p>
    <w:p w14:paraId="5F6C53C1" w14:textId="2316BBA5" w:rsidR="00C22B26" w:rsidRPr="002C39CA" w:rsidRDefault="00C22B26" w:rsidP="00C22B26">
      <w:pPr>
        <w:ind w:left="720"/>
        <w:rPr>
          <w:sz w:val="24"/>
          <w:szCs w:val="24"/>
        </w:rPr>
      </w:pPr>
    </w:p>
    <w:p w14:paraId="278E57B3" w14:textId="77777777" w:rsidR="00047AE3" w:rsidRDefault="00047AE3" w:rsidP="00A91B26">
      <w:pPr>
        <w:pStyle w:val="Odlomakpopisa"/>
        <w:rPr>
          <w:sz w:val="24"/>
          <w:szCs w:val="24"/>
        </w:rPr>
      </w:pPr>
    </w:p>
    <w:p w14:paraId="640415EA" w14:textId="77777777" w:rsidR="002C39CA" w:rsidRDefault="002C39CA" w:rsidP="00A91B26">
      <w:pPr>
        <w:pStyle w:val="Odlomakpopisa"/>
        <w:rPr>
          <w:sz w:val="24"/>
          <w:szCs w:val="24"/>
        </w:rPr>
      </w:pPr>
    </w:p>
    <w:p w14:paraId="4A43000E" w14:textId="59406E72" w:rsidR="002C39CA" w:rsidRPr="006837C3" w:rsidRDefault="00606F1E" w:rsidP="006837C3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6837C3">
        <w:rPr>
          <w:b/>
          <w:bCs/>
          <w:sz w:val="24"/>
          <w:szCs w:val="24"/>
        </w:rPr>
        <w:t>CILJEVI</w:t>
      </w:r>
    </w:p>
    <w:p w14:paraId="0190F1D9" w14:textId="13E0DB18" w:rsidR="00501BEB" w:rsidRDefault="00501BEB" w:rsidP="00501BEB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Osigurati svakom </w:t>
      </w:r>
      <w:r w:rsidR="00E41DA4">
        <w:rPr>
          <w:sz w:val="24"/>
          <w:szCs w:val="24"/>
        </w:rPr>
        <w:t>učeniku</w:t>
      </w:r>
      <w:r>
        <w:rPr>
          <w:sz w:val="24"/>
          <w:szCs w:val="24"/>
        </w:rPr>
        <w:t xml:space="preserve"> besplatan</w:t>
      </w:r>
      <w:r w:rsidR="00605068">
        <w:rPr>
          <w:sz w:val="24"/>
          <w:szCs w:val="24"/>
        </w:rPr>
        <w:t xml:space="preserve"> mliječni </w:t>
      </w:r>
      <w:r>
        <w:rPr>
          <w:sz w:val="24"/>
          <w:szCs w:val="24"/>
        </w:rPr>
        <w:t xml:space="preserve"> </w:t>
      </w:r>
      <w:r w:rsidR="00C875A0">
        <w:rPr>
          <w:sz w:val="24"/>
          <w:szCs w:val="24"/>
        </w:rPr>
        <w:t>obrok</w:t>
      </w:r>
    </w:p>
    <w:p w14:paraId="53C322EB" w14:textId="123BC72C" w:rsidR="00C875A0" w:rsidRDefault="00C875A0" w:rsidP="00501BEB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Osigurati besplatne menstrualne potrepštine</w:t>
      </w:r>
    </w:p>
    <w:p w14:paraId="0045EEDE" w14:textId="29B8B6E4" w:rsidR="00605068" w:rsidRDefault="00605068" w:rsidP="00501BEB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Os</w:t>
      </w:r>
      <w:r w:rsidR="00E50E0E">
        <w:rPr>
          <w:sz w:val="24"/>
          <w:szCs w:val="24"/>
        </w:rPr>
        <w:t>igurati besplatne radne bilježnice i udžbenike</w:t>
      </w:r>
    </w:p>
    <w:p w14:paraId="7F364544" w14:textId="6A703C29" w:rsidR="00195BB5" w:rsidRDefault="00195BB5" w:rsidP="00501BEB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Osigurati učeniku s teškoćama pomoćnika u nastavi</w:t>
      </w:r>
    </w:p>
    <w:p w14:paraId="798C8DA8" w14:textId="324CBD7D" w:rsidR="00195BB5" w:rsidRDefault="00690C26" w:rsidP="00501BEB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Poticati stručno usavršavanje zaposlenika, stručnih suradnika</w:t>
      </w:r>
      <w:r w:rsidR="00F53770">
        <w:rPr>
          <w:sz w:val="24"/>
          <w:szCs w:val="24"/>
        </w:rPr>
        <w:t xml:space="preserve"> i drugih zaposlenika ovisno o njihovim </w:t>
      </w:r>
      <w:r w:rsidR="004E4764">
        <w:rPr>
          <w:sz w:val="24"/>
          <w:szCs w:val="24"/>
        </w:rPr>
        <w:t xml:space="preserve">interesima i potrebama programa </w:t>
      </w:r>
      <w:r w:rsidR="00862B18">
        <w:rPr>
          <w:sz w:val="24"/>
          <w:szCs w:val="24"/>
        </w:rPr>
        <w:t>s ciljem unapređenja kvalitete provođenja programa</w:t>
      </w:r>
    </w:p>
    <w:p w14:paraId="4AE3AF83" w14:textId="450E20E1" w:rsidR="00C875A0" w:rsidRDefault="00F03111" w:rsidP="00501BEB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Osigurati nastavak provođenja pravilne prehrane</w:t>
      </w:r>
      <w:r w:rsidR="00F711EF">
        <w:rPr>
          <w:sz w:val="24"/>
          <w:szCs w:val="24"/>
        </w:rPr>
        <w:t xml:space="preserve"> škol</w:t>
      </w:r>
      <w:r w:rsidR="00B91402">
        <w:rPr>
          <w:sz w:val="24"/>
          <w:szCs w:val="24"/>
        </w:rPr>
        <w:t>skih učenika</w:t>
      </w:r>
      <w:r w:rsidR="00415F91">
        <w:rPr>
          <w:sz w:val="24"/>
          <w:szCs w:val="24"/>
        </w:rPr>
        <w:t xml:space="preserve"> </w:t>
      </w:r>
      <w:r w:rsidR="00A263A7">
        <w:rPr>
          <w:sz w:val="24"/>
          <w:szCs w:val="24"/>
        </w:rPr>
        <w:t>s</w:t>
      </w:r>
      <w:r w:rsidR="00415F91">
        <w:rPr>
          <w:sz w:val="24"/>
          <w:szCs w:val="24"/>
        </w:rPr>
        <w:t xml:space="preserve"> ciljem standardizacije, ujednačavanja</w:t>
      </w:r>
      <w:r w:rsidR="00E41DA4">
        <w:rPr>
          <w:sz w:val="24"/>
          <w:szCs w:val="24"/>
        </w:rPr>
        <w:t xml:space="preserve"> i povećanja kvalitete prehrane u svim školama</w:t>
      </w:r>
    </w:p>
    <w:p w14:paraId="18768EA4" w14:textId="688C5185" w:rsidR="00B7120D" w:rsidRPr="00501BEB" w:rsidRDefault="00B7120D" w:rsidP="00501BEB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Nastavak provođenja programa vikenda u sportske dvorane</w:t>
      </w:r>
      <w:r w:rsidR="009C0B29">
        <w:rPr>
          <w:sz w:val="24"/>
          <w:szCs w:val="24"/>
        </w:rPr>
        <w:t>.</w:t>
      </w:r>
    </w:p>
    <w:p w14:paraId="34C7C98E" w14:textId="77777777" w:rsidR="00A527DA" w:rsidRDefault="00A527DA" w:rsidP="00A527DA">
      <w:pPr>
        <w:pStyle w:val="Odlomakpopisa"/>
        <w:rPr>
          <w:b/>
          <w:bCs/>
          <w:sz w:val="24"/>
          <w:szCs w:val="24"/>
        </w:rPr>
      </w:pPr>
    </w:p>
    <w:p w14:paraId="56F5C9FD" w14:textId="5EBF3CBC" w:rsidR="00A527DA" w:rsidRDefault="00A527DA" w:rsidP="009C0B29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9C0B29">
        <w:rPr>
          <w:b/>
          <w:bCs/>
          <w:sz w:val="24"/>
          <w:szCs w:val="24"/>
        </w:rPr>
        <w:t>OBRAZLOŽENJE ODST</w:t>
      </w:r>
      <w:r w:rsidR="00501BEB" w:rsidRPr="009C0B29">
        <w:rPr>
          <w:b/>
          <w:bCs/>
          <w:sz w:val="24"/>
          <w:szCs w:val="24"/>
        </w:rPr>
        <w:t>UPANJA OD FINANCIJSKOG PLANA ZA 202</w:t>
      </w:r>
      <w:r w:rsidR="00E50E0E">
        <w:rPr>
          <w:b/>
          <w:bCs/>
          <w:sz w:val="24"/>
          <w:szCs w:val="24"/>
        </w:rPr>
        <w:t>5</w:t>
      </w:r>
      <w:r w:rsidR="00501BEB" w:rsidRPr="009C0B29">
        <w:rPr>
          <w:b/>
          <w:bCs/>
          <w:sz w:val="24"/>
          <w:szCs w:val="24"/>
        </w:rPr>
        <w:t>. GODINU</w:t>
      </w:r>
    </w:p>
    <w:p w14:paraId="0E32D744" w14:textId="3DA03DAE" w:rsidR="00943C06" w:rsidRPr="00945377" w:rsidRDefault="00943C06" w:rsidP="00943C06">
      <w:pPr>
        <w:ind w:left="360"/>
        <w:rPr>
          <w:b/>
          <w:bCs/>
          <w:sz w:val="24"/>
          <w:szCs w:val="24"/>
        </w:rPr>
      </w:pPr>
      <w:r w:rsidRPr="00945377">
        <w:rPr>
          <w:b/>
          <w:bCs/>
          <w:sz w:val="24"/>
          <w:szCs w:val="24"/>
        </w:rPr>
        <w:t>IZVOR 1.2.1</w:t>
      </w:r>
      <w:r w:rsidR="00D55ECA" w:rsidRPr="00945377">
        <w:rPr>
          <w:b/>
          <w:bCs/>
          <w:sz w:val="24"/>
          <w:szCs w:val="24"/>
        </w:rPr>
        <w:t xml:space="preserve"> DECENTRA</w:t>
      </w:r>
      <w:r w:rsidR="00CB5076" w:rsidRPr="00945377">
        <w:rPr>
          <w:b/>
          <w:bCs/>
          <w:sz w:val="24"/>
          <w:szCs w:val="24"/>
        </w:rPr>
        <w:t>LIZIRANA SREDSTVA</w:t>
      </w:r>
    </w:p>
    <w:p w14:paraId="155AF21E" w14:textId="67E687FB" w:rsidR="006C1B52" w:rsidRDefault="00B8697B" w:rsidP="00943C0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3211- </w:t>
      </w:r>
      <w:r w:rsidR="00666F32">
        <w:rPr>
          <w:sz w:val="24"/>
          <w:szCs w:val="24"/>
        </w:rPr>
        <w:t>S</w:t>
      </w:r>
      <w:r w:rsidR="00947BCF">
        <w:rPr>
          <w:sz w:val="24"/>
          <w:szCs w:val="24"/>
        </w:rPr>
        <w:t>lužbena putovanja – odstupanja zbog nedovoljno planiranih sredstava za službena putovanja, povećan broj izleta</w:t>
      </w:r>
      <w:r w:rsidR="00C94EA5">
        <w:rPr>
          <w:sz w:val="24"/>
          <w:szCs w:val="24"/>
        </w:rPr>
        <w:t xml:space="preserve"> i za to </w:t>
      </w:r>
      <w:r w:rsidR="00EB3BB6">
        <w:rPr>
          <w:sz w:val="24"/>
          <w:szCs w:val="24"/>
        </w:rPr>
        <w:t>zakonskih dnevnica.</w:t>
      </w:r>
    </w:p>
    <w:p w14:paraId="235DAB05" w14:textId="73EA8B68" w:rsidR="00EB3BB6" w:rsidRDefault="00EB3BB6" w:rsidP="00943C0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3214- Ostale naknade troškova </w:t>
      </w:r>
      <w:r w:rsidR="00F15FDC">
        <w:rPr>
          <w:sz w:val="24"/>
          <w:szCs w:val="24"/>
        </w:rPr>
        <w:t xml:space="preserve">zaposlenima – </w:t>
      </w:r>
      <w:r w:rsidR="003F2EBB">
        <w:rPr>
          <w:sz w:val="24"/>
          <w:szCs w:val="24"/>
        </w:rPr>
        <w:t>n</w:t>
      </w:r>
      <w:r w:rsidR="00F15FDC">
        <w:rPr>
          <w:sz w:val="24"/>
          <w:szCs w:val="24"/>
        </w:rPr>
        <w:t>ije planiran iznos za korištenje osobnog automobila u poslovne svrhe.</w:t>
      </w:r>
    </w:p>
    <w:p w14:paraId="70416A1B" w14:textId="03383D58" w:rsidR="008E1570" w:rsidRDefault="008E1570" w:rsidP="00943C0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3221 </w:t>
      </w:r>
      <w:r w:rsidR="0081303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13037">
        <w:rPr>
          <w:sz w:val="24"/>
          <w:szCs w:val="24"/>
        </w:rPr>
        <w:t>Ur</w:t>
      </w:r>
      <w:r w:rsidR="00C3188D">
        <w:rPr>
          <w:sz w:val="24"/>
          <w:szCs w:val="24"/>
        </w:rPr>
        <w:t>e</w:t>
      </w:r>
      <w:r w:rsidR="00813037">
        <w:rPr>
          <w:sz w:val="24"/>
          <w:szCs w:val="24"/>
        </w:rPr>
        <w:t xml:space="preserve">dski materijal i ostali materijalni rashodi – </w:t>
      </w:r>
      <w:r w:rsidR="003F2EBB">
        <w:rPr>
          <w:sz w:val="24"/>
          <w:szCs w:val="24"/>
        </w:rPr>
        <w:t>n</w:t>
      </w:r>
      <w:r w:rsidR="00813037">
        <w:rPr>
          <w:sz w:val="24"/>
          <w:szCs w:val="24"/>
        </w:rPr>
        <w:t>edovoljno planiranih sredstava prilikom izrade financijskog plana, povećanje iznosa radi</w:t>
      </w:r>
      <w:r w:rsidR="00C3188D">
        <w:rPr>
          <w:sz w:val="24"/>
          <w:szCs w:val="24"/>
        </w:rPr>
        <w:t xml:space="preserve"> povećane</w:t>
      </w:r>
      <w:r w:rsidR="00813037">
        <w:rPr>
          <w:sz w:val="24"/>
          <w:szCs w:val="24"/>
        </w:rPr>
        <w:t xml:space="preserve"> potrebe uredsk</w:t>
      </w:r>
      <w:r w:rsidR="00D93E1B">
        <w:rPr>
          <w:sz w:val="24"/>
          <w:szCs w:val="24"/>
        </w:rPr>
        <w:t>og</w:t>
      </w:r>
      <w:r w:rsidR="00813037">
        <w:rPr>
          <w:sz w:val="24"/>
          <w:szCs w:val="24"/>
        </w:rPr>
        <w:t xml:space="preserve"> materijal</w:t>
      </w:r>
      <w:r w:rsidR="00D93E1B">
        <w:rPr>
          <w:sz w:val="24"/>
          <w:szCs w:val="24"/>
        </w:rPr>
        <w:t>a</w:t>
      </w:r>
      <w:r w:rsidR="00813037">
        <w:rPr>
          <w:sz w:val="24"/>
          <w:szCs w:val="24"/>
        </w:rPr>
        <w:t xml:space="preserve"> za redovito poslovanje</w:t>
      </w:r>
      <w:r w:rsidR="00C3188D">
        <w:rPr>
          <w:sz w:val="24"/>
          <w:szCs w:val="24"/>
        </w:rPr>
        <w:t xml:space="preserve"> škole,</w:t>
      </w:r>
      <w:r w:rsidR="00813037">
        <w:rPr>
          <w:sz w:val="24"/>
          <w:szCs w:val="24"/>
        </w:rPr>
        <w:t xml:space="preserve"> te</w:t>
      </w:r>
      <w:r w:rsidR="00C3188D">
        <w:rPr>
          <w:sz w:val="24"/>
          <w:szCs w:val="24"/>
        </w:rPr>
        <w:t xml:space="preserve"> povećane</w:t>
      </w:r>
      <w:r w:rsidR="00CB05C1">
        <w:rPr>
          <w:sz w:val="24"/>
          <w:szCs w:val="24"/>
        </w:rPr>
        <w:t xml:space="preserve"> nabavke</w:t>
      </w:r>
      <w:r w:rsidR="00813037">
        <w:rPr>
          <w:sz w:val="24"/>
          <w:szCs w:val="24"/>
        </w:rPr>
        <w:t xml:space="preserve"> higijenskih potre</w:t>
      </w:r>
      <w:r w:rsidR="00CB05C1">
        <w:rPr>
          <w:sz w:val="24"/>
          <w:szCs w:val="24"/>
        </w:rPr>
        <w:t>pština.</w:t>
      </w:r>
    </w:p>
    <w:p w14:paraId="7B21FC2F" w14:textId="5ECB3A7A" w:rsidR="00DC37FF" w:rsidRDefault="00DC37FF" w:rsidP="00943C0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3227- Službena, radna i zaštitna odjeća i obuća – </w:t>
      </w:r>
      <w:r w:rsidR="00C3188D">
        <w:rPr>
          <w:sz w:val="24"/>
          <w:szCs w:val="24"/>
        </w:rPr>
        <w:t>o</w:t>
      </w:r>
      <w:r>
        <w:rPr>
          <w:sz w:val="24"/>
          <w:szCs w:val="24"/>
        </w:rPr>
        <w:t>dstupanje u odnosu na plan radi nabave nove odjeće i obuće za zaposlenike.</w:t>
      </w:r>
    </w:p>
    <w:p w14:paraId="7FCA89F6" w14:textId="34E04D7B" w:rsidR="00E62304" w:rsidRDefault="00E62304" w:rsidP="00943C0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3292 – Premija osiguranja – Nedovoljno planiranih sredstava prilikom izrade financijskog plana na poziciji 3292, </w:t>
      </w:r>
      <w:r w:rsidR="00BB5CA7">
        <w:rPr>
          <w:sz w:val="24"/>
          <w:szCs w:val="24"/>
        </w:rPr>
        <w:t xml:space="preserve">došlo je do </w:t>
      </w:r>
      <w:r w:rsidR="00D84CF3">
        <w:rPr>
          <w:sz w:val="24"/>
          <w:szCs w:val="24"/>
        </w:rPr>
        <w:t xml:space="preserve">potrebe za osiguranjem imovine </w:t>
      </w:r>
      <w:r w:rsidR="00BB5CA7">
        <w:rPr>
          <w:sz w:val="24"/>
          <w:szCs w:val="24"/>
        </w:rPr>
        <w:t>škole sa WI</w:t>
      </w:r>
      <w:r w:rsidR="00D84CF3">
        <w:rPr>
          <w:sz w:val="24"/>
          <w:szCs w:val="24"/>
        </w:rPr>
        <w:t>ENER osiguranjem.</w:t>
      </w:r>
    </w:p>
    <w:p w14:paraId="3DA53D15" w14:textId="4B33F2FB" w:rsidR="00490E07" w:rsidRDefault="00353113" w:rsidP="00943C0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3235- </w:t>
      </w:r>
      <w:r w:rsidR="00215157">
        <w:rPr>
          <w:sz w:val="24"/>
          <w:szCs w:val="24"/>
        </w:rPr>
        <w:t>Z</w:t>
      </w:r>
      <w:r>
        <w:rPr>
          <w:sz w:val="24"/>
          <w:szCs w:val="24"/>
        </w:rPr>
        <w:t xml:space="preserve">akupnine i najamnine – odstupanje zbog nedovoljno planiranih sredstava, </w:t>
      </w:r>
      <w:r w:rsidR="005466FE">
        <w:rPr>
          <w:sz w:val="24"/>
          <w:szCs w:val="24"/>
        </w:rPr>
        <w:t>najam printera</w:t>
      </w:r>
      <w:r w:rsidR="00413161">
        <w:rPr>
          <w:sz w:val="24"/>
          <w:szCs w:val="24"/>
        </w:rPr>
        <w:t xml:space="preserve"> za redovito poslovanje škole.</w:t>
      </w:r>
    </w:p>
    <w:p w14:paraId="7A9A5980" w14:textId="114E6220" w:rsidR="00590B9A" w:rsidRPr="00945377" w:rsidRDefault="00E86FBE" w:rsidP="00943C06">
      <w:pPr>
        <w:ind w:left="360"/>
        <w:rPr>
          <w:b/>
          <w:bCs/>
          <w:sz w:val="24"/>
          <w:szCs w:val="24"/>
        </w:rPr>
      </w:pPr>
      <w:r w:rsidRPr="00945377">
        <w:rPr>
          <w:b/>
          <w:bCs/>
          <w:sz w:val="24"/>
          <w:szCs w:val="24"/>
        </w:rPr>
        <w:t>IZVOR 3.1 VLASTITI PRIHODI</w:t>
      </w:r>
    </w:p>
    <w:p w14:paraId="1BBD9109" w14:textId="11595560" w:rsidR="00E86FBE" w:rsidRDefault="00EB2627" w:rsidP="00943C0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3211- </w:t>
      </w:r>
      <w:r w:rsidR="000B309B">
        <w:rPr>
          <w:sz w:val="24"/>
          <w:szCs w:val="24"/>
        </w:rPr>
        <w:t xml:space="preserve">Nedovoljno planiranih sredstava, povećan broj </w:t>
      </w:r>
      <w:r w:rsidR="00263034">
        <w:rPr>
          <w:sz w:val="24"/>
          <w:szCs w:val="24"/>
        </w:rPr>
        <w:t>djelatnika koji je išao na službeni put radi usavršavanja.</w:t>
      </w:r>
    </w:p>
    <w:p w14:paraId="5E671C57" w14:textId="22FD7482" w:rsidR="00F11A71" w:rsidRDefault="00F11A71" w:rsidP="00943C06">
      <w:pPr>
        <w:ind w:left="360"/>
        <w:rPr>
          <w:sz w:val="24"/>
          <w:szCs w:val="24"/>
        </w:rPr>
      </w:pPr>
      <w:r>
        <w:rPr>
          <w:sz w:val="24"/>
          <w:szCs w:val="24"/>
        </w:rPr>
        <w:t>3214- Prilikom izrade financijskog plana za 2025.</w:t>
      </w:r>
      <w:r w:rsidR="002151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godinu nisu bila </w:t>
      </w:r>
      <w:r w:rsidR="00CE0005">
        <w:rPr>
          <w:sz w:val="24"/>
          <w:szCs w:val="24"/>
        </w:rPr>
        <w:t>planirana sredstva za korištenje privatnog automobila za poslovne svrhe.</w:t>
      </w:r>
    </w:p>
    <w:p w14:paraId="1F494E86" w14:textId="743771B6" w:rsidR="00782A02" w:rsidRDefault="00782A02" w:rsidP="00782A02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3237- Nedovoljno planiranih sredstava, sklapa</w:t>
      </w:r>
      <w:r w:rsidR="001F3A1E">
        <w:rPr>
          <w:sz w:val="24"/>
          <w:szCs w:val="24"/>
        </w:rPr>
        <w:t>nje ugovora o djelu za pomoć i kontrolu prilikom izrade financijskih izvještaja.</w:t>
      </w:r>
    </w:p>
    <w:p w14:paraId="2F81F7CB" w14:textId="1F54E0BB" w:rsidR="008E3B11" w:rsidRDefault="00192229" w:rsidP="00782A02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42- Rashodi za nabavu proizvedene dugotrajne imovine – previše planiranih iznosa koji nisu realizirani, jer nije bilo potrebe za nabavom </w:t>
      </w:r>
      <w:r w:rsidR="004C1A31">
        <w:rPr>
          <w:sz w:val="24"/>
          <w:szCs w:val="24"/>
        </w:rPr>
        <w:t>dodatne opreme</w:t>
      </w:r>
      <w:r w:rsidR="00CC6807">
        <w:rPr>
          <w:sz w:val="24"/>
          <w:szCs w:val="24"/>
        </w:rPr>
        <w:t xml:space="preserve"> i</w:t>
      </w:r>
      <w:r w:rsidR="004C1A31">
        <w:rPr>
          <w:sz w:val="24"/>
          <w:szCs w:val="24"/>
        </w:rPr>
        <w:t xml:space="preserve"> ni</w:t>
      </w:r>
      <w:r w:rsidR="00CC6807">
        <w:rPr>
          <w:sz w:val="24"/>
          <w:szCs w:val="24"/>
        </w:rPr>
        <w:t>je</w:t>
      </w:r>
      <w:r w:rsidR="004C1A31">
        <w:rPr>
          <w:sz w:val="24"/>
          <w:szCs w:val="24"/>
        </w:rPr>
        <w:t xml:space="preserve"> bilo isknjižavanja opreme prilikom godišnjeg popisa imovine.</w:t>
      </w:r>
    </w:p>
    <w:p w14:paraId="523201B2" w14:textId="77777777" w:rsidR="008834D0" w:rsidRDefault="008834D0" w:rsidP="00782A02">
      <w:pPr>
        <w:ind w:left="360"/>
        <w:rPr>
          <w:sz w:val="24"/>
          <w:szCs w:val="24"/>
        </w:rPr>
      </w:pPr>
    </w:p>
    <w:p w14:paraId="1E87052F" w14:textId="77777777" w:rsidR="008834D0" w:rsidRPr="00945377" w:rsidRDefault="008834D0" w:rsidP="008834D0">
      <w:pPr>
        <w:jc w:val="both"/>
        <w:rPr>
          <w:rFonts w:cs="Calibri"/>
          <w:b/>
          <w:bCs/>
          <w:sz w:val="24"/>
          <w:szCs w:val="24"/>
        </w:rPr>
      </w:pPr>
      <w:r w:rsidRPr="00945377">
        <w:rPr>
          <w:rFonts w:cs="Calibri"/>
          <w:b/>
          <w:bCs/>
          <w:sz w:val="24"/>
          <w:szCs w:val="24"/>
        </w:rPr>
        <w:t>IZVOR 1.1.3 OPĆI PRIHODI I PRIMICI</w:t>
      </w:r>
    </w:p>
    <w:p w14:paraId="1B1D3EFD" w14:textId="390B53E4" w:rsidR="008834D0" w:rsidRDefault="00755326" w:rsidP="008834D0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3111 – Planirano manje financijskih sredstava za plaće koji se odnosi</w:t>
      </w:r>
      <w:r w:rsidR="00896159">
        <w:rPr>
          <w:rFonts w:cs="Calibri"/>
          <w:sz w:val="24"/>
          <w:szCs w:val="24"/>
        </w:rPr>
        <w:t xml:space="preserve"> na plaće koji se financiraju iz gradskog proračuna</w:t>
      </w:r>
      <w:r>
        <w:rPr>
          <w:rFonts w:cs="Calibri"/>
          <w:sz w:val="24"/>
          <w:szCs w:val="24"/>
        </w:rPr>
        <w:t>, asistenti u nastavi, povećanje bruto iznosa satnice, vikend u sportske dvorane</w:t>
      </w:r>
      <w:r w:rsidR="00DA5A3A">
        <w:rPr>
          <w:rFonts w:cs="Calibri"/>
          <w:sz w:val="24"/>
          <w:szCs w:val="24"/>
        </w:rPr>
        <w:t>, učitelji u produženom boravku, došlo je do povećanja obračunske osnove.</w:t>
      </w:r>
    </w:p>
    <w:p w14:paraId="6D080117" w14:textId="12557E77" w:rsidR="00DA5A3A" w:rsidRDefault="00DA5A3A" w:rsidP="008834D0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3222 – Materijal i sirovine </w:t>
      </w:r>
      <w:r w:rsidR="00BA5D53">
        <w:rPr>
          <w:rFonts w:cs="Calibri"/>
          <w:sz w:val="24"/>
          <w:szCs w:val="24"/>
        </w:rPr>
        <w:t>–</w:t>
      </w:r>
      <w:r>
        <w:rPr>
          <w:rFonts w:cs="Calibri"/>
          <w:sz w:val="24"/>
          <w:szCs w:val="24"/>
        </w:rPr>
        <w:t xml:space="preserve"> </w:t>
      </w:r>
      <w:r w:rsidR="00896159">
        <w:rPr>
          <w:rFonts w:cs="Calibri"/>
          <w:sz w:val="24"/>
          <w:szCs w:val="24"/>
        </w:rPr>
        <w:t>m</w:t>
      </w:r>
      <w:r w:rsidR="00BA5D53">
        <w:rPr>
          <w:rFonts w:cs="Calibri"/>
          <w:sz w:val="24"/>
          <w:szCs w:val="24"/>
        </w:rPr>
        <w:t xml:space="preserve">anje planiranih sredstava u odnosu na realizaciju, škola sudjeluje u projektu Zelene – </w:t>
      </w:r>
      <w:r w:rsidR="00896159">
        <w:rPr>
          <w:rFonts w:cs="Calibri"/>
          <w:sz w:val="24"/>
          <w:szCs w:val="24"/>
        </w:rPr>
        <w:t>E</w:t>
      </w:r>
      <w:r w:rsidR="00BA5D53">
        <w:rPr>
          <w:rFonts w:cs="Calibri"/>
          <w:sz w:val="24"/>
          <w:szCs w:val="24"/>
        </w:rPr>
        <w:t>ko nabave.</w:t>
      </w:r>
    </w:p>
    <w:p w14:paraId="5F888AE2" w14:textId="5810FAF2" w:rsidR="008E3B11" w:rsidRDefault="008834D0" w:rsidP="00945377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3722- </w:t>
      </w:r>
      <w:r w:rsidR="005B62F7">
        <w:rPr>
          <w:rFonts w:cs="Calibri"/>
          <w:sz w:val="24"/>
          <w:szCs w:val="24"/>
        </w:rPr>
        <w:t>N</w:t>
      </w:r>
      <w:r>
        <w:rPr>
          <w:rFonts w:cs="Calibri"/>
          <w:sz w:val="24"/>
          <w:szCs w:val="24"/>
        </w:rPr>
        <w:t>aknade građanima i kućanstvima u naravi – planiran veći iznos za nabavu radnih bilježnica, ali je bilo potrebno manje sredstava za nabavu radnih bilježnica.</w:t>
      </w:r>
    </w:p>
    <w:p w14:paraId="3C067A0E" w14:textId="06835A2A" w:rsidR="00DC37FF" w:rsidRDefault="00DC37FF" w:rsidP="00DC37FF">
      <w:pPr>
        <w:rPr>
          <w:sz w:val="24"/>
          <w:szCs w:val="24"/>
        </w:rPr>
      </w:pPr>
      <w:r>
        <w:rPr>
          <w:sz w:val="24"/>
          <w:szCs w:val="24"/>
        </w:rPr>
        <w:t>42- Rashodi za nabavu proizvedene dugotrajne imovine – previše planiranih iznosa na pozicijama od strane Osnivača koji nisu realizirani, jer nije bilo potrebe za nabavom dodatne opreme od strane Škole prema nadležnom proračunu.</w:t>
      </w:r>
    </w:p>
    <w:p w14:paraId="0984859C" w14:textId="77777777" w:rsidR="00DC37FF" w:rsidRPr="00945377" w:rsidRDefault="00DC37FF" w:rsidP="00945377">
      <w:pPr>
        <w:jc w:val="both"/>
        <w:rPr>
          <w:rFonts w:cs="Calibri"/>
          <w:sz w:val="24"/>
          <w:szCs w:val="24"/>
        </w:rPr>
      </w:pPr>
    </w:p>
    <w:p w14:paraId="1DDA296D" w14:textId="3B4FABB8" w:rsidR="008B1DCD" w:rsidRPr="00945377" w:rsidRDefault="008B1DCD" w:rsidP="00CC4CFD">
      <w:pPr>
        <w:jc w:val="both"/>
        <w:rPr>
          <w:rFonts w:cs="Calibri"/>
          <w:b/>
          <w:bCs/>
          <w:sz w:val="24"/>
          <w:szCs w:val="24"/>
        </w:rPr>
      </w:pPr>
      <w:r w:rsidRPr="00945377">
        <w:rPr>
          <w:rFonts w:cs="Calibri"/>
          <w:b/>
          <w:bCs/>
          <w:sz w:val="24"/>
          <w:szCs w:val="24"/>
        </w:rPr>
        <w:t>IZVOR 4.3.1</w:t>
      </w:r>
      <w:r w:rsidR="000F77EE" w:rsidRPr="00945377">
        <w:rPr>
          <w:rFonts w:cs="Calibri"/>
          <w:b/>
          <w:bCs/>
          <w:sz w:val="24"/>
          <w:szCs w:val="24"/>
        </w:rPr>
        <w:t xml:space="preserve"> PRIHODI ZA POSEBNE NAMJENE</w:t>
      </w:r>
    </w:p>
    <w:p w14:paraId="30D0C6B1" w14:textId="4D717468" w:rsidR="0038504B" w:rsidRDefault="00E214BB" w:rsidP="00CC4CFD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3222 – </w:t>
      </w:r>
      <w:r w:rsidR="005B62F7">
        <w:rPr>
          <w:rFonts w:cs="Calibri"/>
          <w:sz w:val="24"/>
          <w:szCs w:val="24"/>
        </w:rPr>
        <w:t>M</w:t>
      </w:r>
      <w:r>
        <w:rPr>
          <w:rFonts w:cs="Calibri"/>
          <w:sz w:val="24"/>
          <w:szCs w:val="24"/>
        </w:rPr>
        <w:t>aterijal i sirovine – planiran</w:t>
      </w:r>
      <w:r w:rsidR="00240372">
        <w:rPr>
          <w:rFonts w:cs="Calibri"/>
          <w:sz w:val="24"/>
          <w:szCs w:val="24"/>
        </w:rPr>
        <w:t xml:space="preserve"> </w:t>
      </w:r>
      <w:r w:rsidR="00D22A92">
        <w:rPr>
          <w:rFonts w:cs="Calibri"/>
          <w:sz w:val="24"/>
          <w:szCs w:val="24"/>
        </w:rPr>
        <w:t xml:space="preserve">manji </w:t>
      </w:r>
      <w:r w:rsidR="00240372">
        <w:rPr>
          <w:rFonts w:cs="Calibri"/>
          <w:sz w:val="24"/>
          <w:szCs w:val="24"/>
        </w:rPr>
        <w:t>iznos prilikom izrade plana za uplatu roditelja za školsku kuhinju</w:t>
      </w:r>
      <w:r w:rsidR="00A263A7">
        <w:rPr>
          <w:rFonts w:cs="Calibri"/>
          <w:sz w:val="24"/>
          <w:szCs w:val="24"/>
        </w:rPr>
        <w:t xml:space="preserve">, </w:t>
      </w:r>
      <w:r w:rsidR="00D22A92">
        <w:rPr>
          <w:rFonts w:cs="Calibri"/>
          <w:sz w:val="24"/>
          <w:szCs w:val="24"/>
        </w:rPr>
        <w:t xml:space="preserve">ali zbog povećanja cijena na tržištu dolazi i do većih </w:t>
      </w:r>
      <w:r w:rsidR="0049320D">
        <w:rPr>
          <w:rFonts w:cs="Calibri"/>
          <w:sz w:val="24"/>
          <w:szCs w:val="24"/>
        </w:rPr>
        <w:t>cijena nabavke nam</w:t>
      </w:r>
      <w:r w:rsidR="00352071">
        <w:rPr>
          <w:rFonts w:cs="Calibri"/>
          <w:sz w:val="24"/>
          <w:szCs w:val="24"/>
        </w:rPr>
        <w:t>i</w:t>
      </w:r>
      <w:r w:rsidR="0049320D">
        <w:rPr>
          <w:rFonts w:cs="Calibri"/>
          <w:sz w:val="24"/>
          <w:szCs w:val="24"/>
        </w:rPr>
        <w:t>rnica za potrebe školske kuhinje</w:t>
      </w:r>
      <w:r w:rsidR="00352071">
        <w:rPr>
          <w:rFonts w:cs="Calibri"/>
          <w:sz w:val="24"/>
          <w:szCs w:val="24"/>
        </w:rPr>
        <w:t>.</w:t>
      </w:r>
    </w:p>
    <w:p w14:paraId="2DA1B400" w14:textId="18B3B2A0" w:rsidR="00FE671D" w:rsidRDefault="00FE671D" w:rsidP="00CC4CFD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3132- Nedovoljno planiranih sredstava </w:t>
      </w:r>
      <w:r w:rsidR="00E04787">
        <w:rPr>
          <w:rFonts w:cs="Calibri"/>
          <w:sz w:val="24"/>
          <w:szCs w:val="24"/>
        </w:rPr>
        <w:t>prilikom izrade financijskog plana za 2025.</w:t>
      </w:r>
      <w:r w:rsidR="00F74DF4">
        <w:rPr>
          <w:rFonts w:cs="Calibri"/>
          <w:sz w:val="24"/>
          <w:szCs w:val="24"/>
        </w:rPr>
        <w:t xml:space="preserve"> godinu, </w:t>
      </w:r>
      <w:r w:rsidR="00E04787">
        <w:rPr>
          <w:rFonts w:cs="Calibri"/>
          <w:sz w:val="24"/>
          <w:szCs w:val="24"/>
        </w:rPr>
        <w:t>za doprinose za zdravstveno osiguranje koji se odnos</w:t>
      </w:r>
      <w:r w:rsidR="005C7250">
        <w:rPr>
          <w:rFonts w:cs="Calibri"/>
          <w:sz w:val="24"/>
          <w:szCs w:val="24"/>
        </w:rPr>
        <w:t>e</w:t>
      </w:r>
      <w:r w:rsidR="00E04787">
        <w:rPr>
          <w:rFonts w:cs="Calibri"/>
          <w:sz w:val="24"/>
          <w:szCs w:val="24"/>
        </w:rPr>
        <w:t xml:space="preserve"> </w:t>
      </w:r>
      <w:r w:rsidR="003C15E2">
        <w:rPr>
          <w:rFonts w:cs="Calibri"/>
          <w:sz w:val="24"/>
          <w:szCs w:val="24"/>
        </w:rPr>
        <w:t>na učitelje u produženom boravku</w:t>
      </w:r>
      <w:r w:rsidR="005C7250">
        <w:rPr>
          <w:rFonts w:cs="Calibri"/>
          <w:sz w:val="24"/>
          <w:szCs w:val="24"/>
        </w:rPr>
        <w:t>, a</w:t>
      </w:r>
      <w:r w:rsidR="00541A47">
        <w:rPr>
          <w:rFonts w:cs="Calibri"/>
          <w:sz w:val="24"/>
          <w:szCs w:val="24"/>
        </w:rPr>
        <w:t xml:space="preserve"> financiraju se iz dijela uplate roditelja.</w:t>
      </w:r>
    </w:p>
    <w:p w14:paraId="74B73A3C" w14:textId="41E8DDF9" w:rsidR="00B16ECA" w:rsidRDefault="00DF7EA8" w:rsidP="00CC4CFD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3231- Prilikom izrade plana nije planiran iznos </w:t>
      </w:r>
      <w:r w:rsidR="00553B60">
        <w:rPr>
          <w:rFonts w:cs="Calibri"/>
          <w:sz w:val="24"/>
          <w:szCs w:val="24"/>
        </w:rPr>
        <w:t>koji se odnosi na</w:t>
      </w:r>
      <w:r>
        <w:rPr>
          <w:rFonts w:cs="Calibri"/>
          <w:sz w:val="24"/>
          <w:szCs w:val="24"/>
        </w:rPr>
        <w:t xml:space="preserve"> prijevoz učenika</w:t>
      </w:r>
      <w:r w:rsidR="00553B60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financiran od strane roditelja za škol</w:t>
      </w:r>
      <w:r w:rsidR="00541A47">
        <w:rPr>
          <w:rFonts w:cs="Calibri"/>
          <w:sz w:val="24"/>
          <w:szCs w:val="24"/>
        </w:rPr>
        <w:t>sk</w:t>
      </w:r>
      <w:r>
        <w:rPr>
          <w:rFonts w:cs="Calibri"/>
          <w:sz w:val="24"/>
          <w:szCs w:val="24"/>
        </w:rPr>
        <w:t xml:space="preserve">e izlete, </w:t>
      </w:r>
      <w:r w:rsidR="00087EC2">
        <w:rPr>
          <w:rFonts w:cs="Calibri"/>
          <w:sz w:val="24"/>
          <w:szCs w:val="24"/>
        </w:rPr>
        <w:t>kazališta i sl.</w:t>
      </w:r>
    </w:p>
    <w:p w14:paraId="4A604F43" w14:textId="079DF06F" w:rsidR="00773D45" w:rsidRPr="00945377" w:rsidRDefault="00773D45" w:rsidP="00CC4CFD">
      <w:pPr>
        <w:jc w:val="both"/>
        <w:rPr>
          <w:rFonts w:cs="Calibri"/>
          <w:b/>
          <w:bCs/>
          <w:sz w:val="24"/>
          <w:szCs w:val="24"/>
        </w:rPr>
      </w:pPr>
      <w:r w:rsidRPr="00945377">
        <w:rPr>
          <w:rFonts w:cs="Calibri"/>
          <w:b/>
          <w:bCs/>
          <w:sz w:val="24"/>
          <w:szCs w:val="24"/>
        </w:rPr>
        <w:t>IZVOR 5.2.1. POMOĆI IZ DRUGIH PRORAČUNA</w:t>
      </w:r>
    </w:p>
    <w:p w14:paraId="7432C02F" w14:textId="4D03134E" w:rsidR="00773D45" w:rsidRDefault="003641CA" w:rsidP="00CC4CFD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 kontima 3111,</w:t>
      </w:r>
      <w:r w:rsidR="00455C2B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31113,</w:t>
      </w:r>
      <w:r w:rsidR="00455C2B">
        <w:rPr>
          <w:rFonts w:cs="Calibri"/>
          <w:sz w:val="24"/>
          <w:szCs w:val="24"/>
        </w:rPr>
        <w:t xml:space="preserve"> </w:t>
      </w:r>
      <w:r w:rsidR="00E56BFB">
        <w:rPr>
          <w:rFonts w:cs="Calibri"/>
          <w:sz w:val="24"/>
          <w:szCs w:val="24"/>
        </w:rPr>
        <w:t>3132,</w:t>
      </w:r>
      <w:r w:rsidR="00455C2B">
        <w:rPr>
          <w:rFonts w:cs="Calibri"/>
          <w:sz w:val="24"/>
          <w:szCs w:val="24"/>
        </w:rPr>
        <w:t xml:space="preserve"> </w:t>
      </w:r>
      <w:r w:rsidR="00E56BFB">
        <w:rPr>
          <w:rFonts w:cs="Calibri"/>
          <w:sz w:val="24"/>
          <w:szCs w:val="24"/>
        </w:rPr>
        <w:t>3212</w:t>
      </w:r>
      <w:r w:rsidR="00455C2B">
        <w:rPr>
          <w:rFonts w:cs="Calibri"/>
          <w:sz w:val="24"/>
          <w:szCs w:val="24"/>
        </w:rPr>
        <w:t>,</w:t>
      </w:r>
      <w:r w:rsidR="00E56BFB">
        <w:rPr>
          <w:rFonts w:cs="Calibri"/>
          <w:sz w:val="24"/>
          <w:szCs w:val="24"/>
        </w:rPr>
        <w:t xml:space="preserve"> 3721 – planiran manji izno</w:t>
      </w:r>
      <w:r w:rsidR="006A53D9">
        <w:rPr>
          <w:rFonts w:cs="Calibri"/>
          <w:sz w:val="24"/>
          <w:szCs w:val="24"/>
        </w:rPr>
        <w:t>s prilikom izrade financijskog plana, povećanje zbog veće obračunske osnovice, privremenog dodatka na plaću</w:t>
      </w:r>
      <w:r w:rsidR="00E2773C">
        <w:rPr>
          <w:rFonts w:cs="Calibri"/>
          <w:sz w:val="24"/>
          <w:szCs w:val="24"/>
        </w:rPr>
        <w:t xml:space="preserve">, a time i doprinosa </w:t>
      </w:r>
      <w:r w:rsidR="00E40C3A">
        <w:rPr>
          <w:rFonts w:cs="Calibri"/>
          <w:sz w:val="24"/>
          <w:szCs w:val="24"/>
        </w:rPr>
        <w:t>na plaću</w:t>
      </w:r>
      <w:r w:rsidR="004A5188">
        <w:rPr>
          <w:rFonts w:cs="Calibri"/>
          <w:sz w:val="24"/>
          <w:szCs w:val="24"/>
        </w:rPr>
        <w:t xml:space="preserve"> i ostalih rashoda za zaposlene.</w:t>
      </w:r>
    </w:p>
    <w:p w14:paraId="79C6F054" w14:textId="652C49B4" w:rsidR="009F11DE" w:rsidRDefault="009F11DE" w:rsidP="00CC4CFD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3295- Pristojbe i naknade – </w:t>
      </w:r>
      <w:r w:rsidR="00455C2B">
        <w:rPr>
          <w:rFonts w:cs="Calibri"/>
          <w:sz w:val="24"/>
          <w:szCs w:val="24"/>
        </w:rPr>
        <w:t>p</w:t>
      </w:r>
      <w:r>
        <w:rPr>
          <w:rFonts w:cs="Calibri"/>
          <w:sz w:val="24"/>
          <w:szCs w:val="24"/>
        </w:rPr>
        <w:t>rilikom izrade financijskog plana za 2025</w:t>
      </w:r>
      <w:r w:rsidR="00455C2B"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>godinu</w:t>
      </w:r>
      <w:r w:rsidR="00455C2B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škola je bila obvezna</w:t>
      </w:r>
      <w:r w:rsidR="00455C2B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plaćati naknade za nezapošljavanje osoba s invaliditetom</w:t>
      </w:r>
      <w:r w:rsidR="0005406E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  <w:r w:rsidR="0005406E">
        <w:rPr>
          <w:rFonts w:cs="Calibri"/>
          <w:sz w:val="24"/>
          <w:szCs w:val="24"/>
        </w:rPr>
        <w:t>K</w:t>
      </w:r>
      <w:r>
        <w:rPr>
          <w:rFonts w:cs="Calibri"/>
          <w:sz w:val="24"/>
          <w:szCs w:val="24"/>
        </w:rPr>
        <w:t>roz 2025. godinu djelatnici su dostavili rješenja o invaliditetu i škola ispunjava kvotu u odnosu na broj zaposlenih da ne plaća naknadu.</w:t>
      </w:r>
    </w:p>
    <w:p w14:paraId="2F228A90" w14:textId="73245B77" w:rsidR="002E16C0" w:rsidRPr="00945377" w:rsidRDefault="002E16C0" w:rsidP="00CC4CFD">
      <w:pPr>
        <w:jc w:val="both"/>
        <w:rPr>
          <w:rFonts w:cs="Calibri"/>
          <w:b/>
          <w:bCs/>
          <w:sz w:val="24"/>
          <w:szCs w:val="24"/>
        </w:rPr>
      </w:pPr>
      <w:r w:rsidRPr="00945377">
        <w:rPr>
          <w:rFonts w:cs="Calibri"/>
          <w:b/>
          <w:bCs/>
          <w:sz w:val="24"/>
          <w:szCs w:val="24"/>
        </w:rPr>
        <w:t>IZVOR 6.1. DONACIJE</w:t>
      </w:r>
    </w:p>
    <w:p w14:paraId="284DFA40" w14:textId="2818219D" w:rsidR="002E16C0" w:rsidRDefault="007B64D0" w:rsidP="00CC4CFD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Na poziciju 3213 -za stručno usavršavanje zaposlenika planiran je </w:t>
      </w:r>
      <w:r w:rsidR="00945377">
        <w:rPr>
          <w:rFonts w:cs="Calibri"/>
          <w:sz w:val="24"/>
          <w:szCs w:val="24"/>
        </w:rPr>
        <w:t>veći iznos donacije u odnosu na dobiveni i realizirani.</w:t>
      </w:r>
    </w:p>
    <w:p w14:paraId="58CADBDA" w14:textId="77777777" w:rsidR="004A5188" w:rsidRDefault="004A5188" w:rsidP="00CC4CFD">
      <w:pPr>
        <w:jc w:val="both"/>
        <w:rPr>
          <w:rFonts w:cs="Calibri"/>
          <w:sz w:val="24"/>
          <w:szCs w:val="24"/>
        </w:rPr>
      </w:pPr>
    </w:p>
    <w:p w14:paraId="6B02A910" w14:textId="77777777" w:rsidR="002063E2" w:rsidRPr="002063E2" w:rsidRDefault="002063E2" w:rsidP="002063E2">
      <w:pPr>
        <w:pStyle w:val="Odlomakpopisa"/>
        <w:jc w:val="both"/>
        <w:rPr>
          <w:rFonts w:cs="Calibri"/>
          <w:sz w:val="24"/>
          <w:szCs w:val="24"/>
        </w:rPr>
      </w:pPr>
    </w:p>
    <w:p w14:paraId="659CDF22" w14:textId="4CD923F6" w:rsidR="00801C01" w:rsidRPr="002063E2" w:rsidRDefault="005E0CC8" w:rsidP="002063E2">
      <w:pPr>
        <w:pStyle w:val="Odlomakpopisa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2063E2">
        <w:rPr>
          <w:rFonts w:cs="Calibri"/>
          <w:b/>
          <w:bCs/>
          <w:sz w:val="24"/>
          <w:szCs w:val="24"/>
        </w:rPr>
        <w:t>STANJE NENAPLAĆENIH POTRAŽIVANJA</w:t>
      </w:r>
    </w:p>
    <w:p w14:paraId="063A48BF" w14:textId="104E368C" w:rsidR="005E0CC8" w:rsidRDefault="005E0CC8" w:rsidP="005E0CC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Stanje nenaplaćenih potraživanja od roditelja/skrbnika za školsku kuhinju i produženi boravak</w:t>
      </w:r>
      <w:r w:rsidR="00C73B90">
        <w:rPr>
          <w:rFonts w:cs="Calibri"/>
          <w:sz w:val="24"/>
          <w:szCs w:val="24"/>
        </w:rPr>
        <w:t xml:space="preserve"> iznosi</w:t>
      </w:r>
      <w:r w:rsidR="006A6776">
        <w:rPr>
          <w:rFonts w:cs="Calibri"/>
          <w:sz w:val="24"/>
          <w:szCs w:val="24"/>
        </w:rPr>
        <w:t xml:space="preserve"> 10.986,02</w:t>
      </w:r>
      <w:r w:rsidR="00C73B90">
        <w:rPr>
          <w:rFonts w:cs="Calibri"/>
          <w:sz w:val="24"/>
          <w:szCs w:val="24"/>
        </w:rPr>
        <w:t xml:space="preserve">  EUR</w:t>
      </w:r>
      <w:r w:rsidR="00F21D99">
        <w:rPr>
          <w:rFonts w:cs="Calibri"/>
          <w:sz w:val="24"/>
          <w:szCs w:val="24"/>
        </w:rPr>
        <w:t>.</w:t>
      </w:r>
    </w:p>
    <w:p w14:paraId="23BDAF60" w14:textId="77777777" w:rsidR="0011126D" w:rsidRDefault="0011126D" w:rsidP="005E0CC8">
      <w:pPr>
        <w:jc w:val="both"/>
        <w:rPr>
          <w:rFonts w:cs="Calibri"/>
          <w:sz w:val="24"/>
          <w:szCs w:val="24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87"/>
        <w:gridCol w:w="2431"/>
        <w:gridCol w:w="2770"/>
      </w:tblGrid>
      <w:tr w:rsidR="00A06226" w14:paraId="00352DD6" w14:textId="77777777">
        <w:trPr>
          <w:trHeight w:val="29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4D376BFF" w14:textId="77777777" w:rsidR="00A06226" w:rsidRDefault="00A0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color w:val="000000"/>
                <w14:ligatures w14:val="standardContextual"/>
              </w:rPr>
              <w:t>A) NENAPLAĆENA POTRAŽIVANJA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6236E881" w14:textId="77777777" w:rsidR="00A06226" w:rsidRDefault="00A062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color w:val="000000"/>
                <w14:ligatures w14:val="standardContextual"/>
              </w:rPr>
              <w:t>IZNOS (EUR)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14:paraId="6F829904" w14:textId="77777777" w:rsidR="00A06226" w:rsidRDefault="00A062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</w:tr>
      <w:tr w:rsidR="00A06226" w14:paraId="53C2EC04" w14:textId="77777777">
        <w:trPr>
          <w:trHeight w:val="581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1621" w14:textId="77777777" w:rsidR="00A06226" w:rsidRDefault="00A0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Ukupan iznos nenaplaćenih potraživanja na kraju proračunske godine - 31.12.2025.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1D59A9FD" w14:textId="77777777" w:rsidR="00A06226" w:rsidRDefault="00A062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10.986,02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14:paraId="13DB0105" w14:textId="77777777" w:rsidR="00A06226" w:rsidRDefault="00A062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</w:tr>
    </w:tbl>
    <w:p w14:paraId="51A70325" w14:textId="77777777" w:rsidR="00A06226" w:rsidRDefault="00A06226" w:rsidP="005E0CC8">
      <w:pPr>
        <w:jc w:val="both"/>
        <w:rPr>
          <w:rFonts w:cs="Calibri"/>
          <w:sz w:val="24"/>
          <w:szCs w:val="24"/>
        </w:rPr>
      </w:pPr>
    </w:p>
    <w:p w14:paraId="43714D82" w14:textId="77777777" w:rsidR="00E50E0E" w:rsidRPr="00D84CF3" w:rsidRDefault="00E50E0E" w:rsidP="00D84CF3">
      <w:pPr>
        <w:jc w:val="both"/>
        <w:rPr>
          <w:rFonts w:cs="Calibri"/>
          <w:b/>
          <w:bCs/>
          <w:sz w:val="24"/>
          <w:szCs w:val="24"/>
        </w:rPr>
      </w:pPr>
    </w:p>
    <w:p w14:paraId="445A10CE" w14:textId="28BF06B6" w:rsidR="00C73B90" w:rsidRDefault="00C73B90" w:rsidP="00C73B90">
      <w:pPr>
        <w:pStyle w:val="Odlomakpopisa"/>
        <w:numPr>
          <w:ilvl w:val="0"/>
          <w:numId w:val="1"/>
        </w:numPr>
        <w:jc w:val="both"/>
        <w:rPr>
          <w:rFonts w:cs="Calibri"/>
          <w:b/>
          <w:bCs/>
          <w:sz w:val="24"/>
          <w:szCs w:val="24"/>
        </w:rPr>
      </w:pPr>
      <w:r w:rsidRPr="007209E2">
        <w:rPr>
          <w:rFonts w:cs="Calibri"/>
          <w:b/>
          <w:bCs/>
          <w:sz w:val="24"/>
          <w:szCs w:val="24"/>
        </w:rPr>
        <w:t xml:space="preserve">STANJE NEPODMIRENIH DOSPJELIH </w:t>
      </w:r>
      <w:r w:rsidR="007209E2" w:rsidRPr="007209E2">
        <w:rPr>
          <w:rFonts w:cs="Calibri"/>
          <w:b/>
          <w:bCs/>
          <w:sz w:val="24"/>
          <w:szCs w:val="24"/>
        </w:rPr>
        <w:t>OBVEZA</w:t>
      </w:r>
    </w:p>
    <w:p w14:paraId="444801EE" w14:textId="2D8B5A77" w:rsidR="006A6776" w:rsidRDefault="007209E2" w:rsidP="006A6776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Stanje nepodmirenih dospjelih obveza iznosi </w:t>
      </w:r>
      <w:r w:rsidR="006A6776">
        <w:rPr>
          <w:rFonts w:cs="Calibri"/>
          <w:sz w:val="24"/>
          <w:szCs w:val="24"/>
        </w:rPr>
        <w:t>455,9</w:t>
      </w:r>
      <w:r w:rsidR="007411C5">
        <w:rPr>
          <w:rFonts w:cs="Calibri"/>
          <w:sz w:val="24"/>
          <w:szCs w:val="24"/>
        </w:rPr>
        <w:t>2</w:t>
      </w:r>
      <w:r w:rsidR="00AF2CDC">
        <w:rPr>
          <w:rFonts w:cs="Calibri"/>
          <w:sz w:val="24"/>
          <w:szCs w:val="24"/>
        </w:rPr>
        <w:t xml:space="preserve"> EUR, odnosi se na faktur</w:t>
      </w:r>
      <w:r w:rsidR="00F21D99">
        <w:rPr>
          <w:rFonts w:cs="Calibri"/>
          <w:sz w:val="24"/>
          <w:szCs w:val="24"/>
        </w:rPr>
        <w:t>u</w:t>
      </w:r>
      <w:r w:rsidR="00AF2CDC">
        <w:rPr>
          <w:rFonts w:cs="Calibri"/>
          <w:sz w:val="24"/>
          <w:szCs w:val="24"/>
        </w:rPr>
        <w:t xml:space="preserve"> z</w:t>
      </w:r>
      <w:r w:rsidR="006A6776">
        <w:rPr>
          <w:rFonts w:cs="Calibri"/>
          <w:sz w:val="24"/>
          <w:szCs w:val="24"/>
        </w:rPr>
        <w:t>a komunalne usluge čije je dospijeće bilo 31.12.2025.</w:t>
      </w:r>
      <w:r w:rsidR="007411C5">
        <w:rPr>
          <w:rFonts w:cs="Calibri"/>
          <w:sz w:val="24"/>
          <w:szCs w:val="24"/>
        </w:rPr>
        <w:t xml:space="preserve"> godine</w:t>
      </w:r>
      <w:r w:rsidR="006A6776">
        <w:rPr>
          <w:rFonts w:cs="Calibri"/>
          <w:sz w:val="24"/>
          <w:szCs w:val="24"/>
        </w:rPr>
        <w:t xml:space="preserve">, </w:t>
      </w:r>
      <w:r w:rsidR="00964A9D">
        <w:rPr>
          <w:rFonts w:cs="Calibri"/>
          <w:sz w:val="24"/>
          <w:szCs w:val="24"/>
        </w:rPr>
        <w:t>ali fakture nisu zaprimljene do 31.12.2025.</w:t>
      </w:r>
      <w:r w:rsidR="007411C5">
        <w:rPr>
          <w:rFonts w:cs="Calibri"/>
          <w:sz w:val="24"/>
          <w:szCs w:val="24"/>
        </w:rPr>
        <w:t xml:space="preserve"> godine</w:t>
      </w:r>
      <w:r w:rsidR="00964A9D">
        <w:rPr>
          <w:rFonts w:cs="Calibri"/>
          <w:sz w:val="24"/>
          <w:szCs w:val="24"/>
        </w:rPr>
        <w:t>, jer je kasnila zemaljska pošta.</w:t>
      </w:r>
    </w:p>
    <w:p w14:paraId="34792E6E" w14:textId="77777777" w:rsidR="006A6776" w:rsidRDefault="006A6776" w:rsidP="006A6776">
      <w:pPr>
        <w:jc w:val="both"/>
        <w:rPr>
          <w:rFonts w:cs="Calibri"/>
          <w:sz w:val="24"/>
          <w:szCs w:val="24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87"/>
        <w:gridCol w:w="2431"/>
        <w:gridCol w:w="2770"/>
      </w:tblGrid>
      <w:tr w:rsidR="0011126D" w14:paraId="3EAA0247" w14:textId="77777777">
        <w:trPr>
          <w:trHeight w:val="29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45F7031D" w14:textId="77777777" w:rsidR="0011126D" w:rsidRDefault="0011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color w:val="000000"/>
                <w14:ligatures w14:val="standardContextual"/>
              </w:rPr>
              <w:t>B) NEPODMIRENE DOSPJELE OBAVEZE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303F45EE" w14:textId="77777777" w:rsidR="0011126D" w:rsidRDefault="0011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color w:val="000000"/>
                <w14:ligatures w14:val="standardContextual"/>
              </w:rPr>
              <w:t>IZNOS (EUR)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14:paraId="066A7F80" w14:textId="77777777" w:rsidR="0011126D" w:rsidRDefault="0011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</w:tr>
      <w:tr w:rsidR="0011126D" w14:paraId="4EC4AB84" w14:textId="77777777">
        <w:trPr>
          <w:trHeight w:val="581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4127" w14:textId="77777777" w:rsidR="0011126D" w:rsidRDefault="0011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Ukupan iznos nepodmirenih dospjelih obveza  - 31.12.2025.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259E231A" w14:textId="77777777" w:rsidR="0011126D" w:rsidRDefault="0011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455,92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14:paraId="3EB55D2F" w14:textId="77777777" w:rsidR="0011126D" w:rsidRDefault="0011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</w:tr>
    </w:tbl>
    <w:p w14:paraId="1CED29AC" w14:textId="77777777" w:rsidR="0011126D" w:rsidRDefault="0011126D" w:rsidP="006A6776">
      <w:pPr>
        <w:jc w:val="both"/>
        <w:rPr>
          <w:rFonts w:cs="Calibri"/>
          <w:sz w:val="24"/>
          <w:szCs w:val="24"/>
        </w:rPr>
      </w:pPr>
    </w:p>
    <w:p w14:paraId="6422B663" w14:textId="2B689BAD" w:rsidR="004E4C16" w:rsidRPr="002063E2" w:rsidRDefault="00F7144F" w:rsidP="002063E2">
      <w:pPr>
        <w:pStyle w:val="Odlomakpopisa"/>
        <w:numPr>
          <w:ilvl w:val="0"/>
          <w:numId w:val="1"/>
        </w:numPr>
        <w:jc w:val="both"/>
        <w:rPr>
          <w:rFonts w:cs="Calibri"/>
          <w:b/>
          <w:bCs/>
          <w:sz w:val="24"/>
          <w:szCs w:val="24"/>
        </w:rPr>
      </w:pPr>
      <w:r w:rsidRPr="002063E2">
        <w:rPr>
          <w:rFonts w:cs="Calibri"/>
          <w:b/>
          <w:bCs/>
          <w:sz w:val="24"/>
          <w:szCs w:val="24"/>
        </w:rPr>
        <w:t xml:space="preserve">STANJE POTENCIJALNIH </w:t>
      </w:r>
      <w:r w:rsidR="00431A09" w:rsidRPr="002063E2">
        <w:rPr>
          <w:rFonts w:cs="Calibri"/>
          <w:b/>
          <w:bCs/>
          <w:sz w:val="24"/>
          <w:szCs w:val="24"/>
        </w:rPr>
        <w:t>OBVEZA PO OSNOVI SUDSKIH POSTUPAKA</w:t>
      </w:r>
    </w:p>
    <w:p w14:paraId="0B2A052E" w14:textId="13D49312" w:rsidR="00431A09" w:rsidRPr="00431A09" w:rsidRDefault="002063E2" w:rsidP="00431A0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Osnovna škola Hrvatski Leskovac n</w:t>
      </w:r>
      <w:r w:rsidR="00431A09">
        <w:rPr>
          <w:rFonts w:cs="Calibri"/>
          <w:sz w:val="24"/>
          <w:szCs w:val="24"/>
        </w:rPr>
        <w:t xml:space="preserve">ema potencijalnih obveza </w:t>
      </w:r>
      <w:r w:rsidR="00FF1482">
        <w:rPr>
          <w:rFonts w:cs="Calibri"/>
          <w:sz w:val="24"/>
          <w:szCs w:val="24"/>
        </w:rPr>
        <w:t>po osnovi sudskih postupaka.</w:t>
      </w:r>
    </w:p>
    <w:p w14:paraId="166E05A6" w14:textId="04FC8B64" w:rsidR="0061559A" w:rsidRDefault="0061559A" w:rsidP="00704BCD">
      <w:pPr>
        <w:tabs>
          <w:tab w:val="left" w:pos="1776"/>
        </w:tabs>
        <w:jc w:val="both"/>
        <w:rPr>
          <w:rFonts w:cs="Calibri"/>
          <w:sz w:val="24"/>
          <w:szCs w:val="24"/>
        </w:rPr>
      </w:pPr>
    </w:p>
    <w:p w14:paraId="4F799762" w14:textId="77777777" w:rsidR="00D84CF3" w:rsidRDefault="00F21D99" w:rsidP="00704BCD">
      <w:pPr>
        <w:tabs>
          <w:tab w:val="left" w:pos="1776"/>
        </w:tabs>
        <w:jc w:val="both"/>
        <w:rPr>
          <w:rFonts w:cs="Calibri"/>
          <w:b/>
          <w:bCs/>
          <w:sz w:val="24"/>
          <w:szCs w:val="24"/>
        </w:rPr>
      </w:pPr>
      <w:r w:rsidRPr="00F21D99">
        <w:rPr>
          <w:rFonts w:cs="Calibri"/>
          <w:b/>
          <w:bCs/>
          <w:sz w:val="24"/>
          <w:szCs w:val="24"/>
        </w:rPr>
        <w:t xml:space="preserve"> </w:t>
      </w:r>
    </w:p>
    <w:p w14:paraId="457A1724" w14:textId="4B8BDBBC" w:rsidR="00F7144F" w:rsidRPr="00F21D99" w:rsidRDefault="00F21D99" w:rsidP="00704BCD">
      <w:pPr>
        <w:tabs>
          <w:tab w:val="left" w:pos="1776"/>
        </w:tabs>
        <w:jc w:val="both"/>
        <w:rPr>
          <w:rFonts w:cs="Calibri"/>
          <w:b/>
          <w:bCs/>
          <w:sz w:val="24"/>
          <w:szCs w:val="24"/>
        </w:rPr>
      </w:pPr>
      <w:r w:rsidRPr="00F21D99">
        <w:rPr>
          <w:rFonts w:cs="Calibri"/>
          <w:b/>
          <w:bCs/>
          <w:sz w:val="24"/>
          <w:szCs w:val="24"/>
        </w:rPr>
        <w:lastRenderedPageBreak/>
        <w:t xml:space="preserve"> 8. </w:t>
      </w:r>
      <w:r>
        <w:rPr>
          <w:rFonts w:cs="Calibri"/>
          <w:b/>
          <w:bCs/>
          <w:sz w:val="24"/>
          <w:szCs w:val="24"/>
        </w:rPr>
        <w:t>ST</w:t>
      </w:r>
      <w:r w:rsidRPr="00F21D99">
        <w:rPr>
          <w:rFonts w:cs="Calibri"/>
          <w:b/>
          <w:bCs/>
          <w:sz w:val="24"/>
          <w:szCs w:val="24"/>
        </w:rPr>
        <w:t>ANJE NOVČANIH SREDSTAVA NA RAČUNIMA NA POČETKU I</w:t>
      </w:r>
      <w:r w:rsidR="00681F4E">
        <w:rPr>
          <w:rFonts w:cs="Calibri"/>
          <w:b/>
          <w:bCs/>
          <w:sz w:val="24"/>
          <w:szCs w:val="24"/>
        </w:rPr>
        <w:t xml:space="preserve"> NA</w:t>
      </w:r>
      <w:r w:rsidRPr="00F21D99">
        <w:rPr>
          <w:rFonts w:cs="Calibri"/>
          <w:b/>
          <w:bCs/>
          <w:sz w:val="24"/>
          <w:szCs w:val="24"/>
        </w:rPr>
        <w:t xml:space="preserve"> KRAJU IZVJEŠTAJNOG </w:t>
      </w:r>
      <w:r>
        <w:rPr>
          <w:rFonts w:cs="Calibri"/>
          <w:b/>
          <w:bCs/>
          <w:sz w:val="24"/>
          <w:szCs w:val="24"/>
        </w:rPr>
        <w:t xml:space="preserve">  </w:t>
      </w:r>
      <w:r w:rsidR="00E50E0E">
        <w:rPr>
          <w:rFonts w:cs="Calibri"/>
          <w:b/>
          <w:bCs/>
          <w:sz w:val="24"/>
          <w:szCs w:val="24"/>
        </w:rPr>
        <w:t xml:space="preserve">  </w:t>
      </w:r>
      <w:r w:rsidRPr="00F21D99">
        <w:rPr>
          <w:rFonts w:cs="Calibri"/>
          <w:b/>
          <w:bCs/>
          <w:sz w:val="24"/>
          <w:szCs w:val="24"/>
        </w:rPr>
        <w:t>RAZDOBLJA</w:t>
      </w:r>
    </w:p>
    <w:p w14:paraId="75EDA818" w14:textId="77777777" w:rsidR="00206B28" w:rsidRPr="000F77EE" w:rsidRDefault="00206B28" w:rsidP="00CC4CFD">
      <w:pPr>
        <w:jc w:val="both"/>
        <w:rPr>
          <w:rFonts w:cs="Calibri"/>
          <w:sz w:val="24"/>
          <w:szCs w:val="24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4"/>
        <w:gridCol w:w="4387"/>
        <w:gridCol w:w="2431"/>
      </w:tblGrid>
      <w:tr w:rsidR="00590932" w14:paraId="5F237DB2" w14:textId="77777777">
        <w:trPr>
          <w:trHeight w:val="29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0DB22674" w14:textId="77777777" w:rsidR="00590932" w:rsidRDefault="005909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0679E7E4" w14:textId="77777777" w:rsidR="00590932" w:rsidRDefault="005909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color w:val="000000"/>
                <w14:ligatures w14:val="standardContextual"/>
              </w:rPr>
              <w:t>A) STANJE NOVČANIH SREDSTAVA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0DC1CEB4" w14:textId="77777777" w:rsidR="00590932" w:rsidRDefault="005909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color w:val="000000"/>
                <w14:ligatures w14:val="standardContextual"/>
              </w:rPr>
              <w:t>IZNOS (EUR)</w:t>
            </w:r>
          </w:p>
        </w:tc>
      </w:tr>
      <w:tr w:rsidR="00590932" w14:paraId="675F6B7A" w14:textId="77777777">
        <w:trPr>
          <w:trHeight w:val="581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6F99F93E" w14:textId="77777777" w:rsidR="00590932" w:rsidRDefault="005909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BA8BA" w14:textId="77777777" w:rsidR="00590932" w:rsidRDefault="005909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Stanje novčanih sredstava na računima na početku proračunske godine - 01.01.2025.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51849BF2" w14:textId="77777777" w:rsidR="00590932" w:rsidRDefault="005909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31.641,94</w:t>
            </w:r>
          </w:p>
        </w:tc>
      </w:tr>
      <w:tr w:rsidR="00590932" w14:paraId="028B6105" w14:textId="77777777">
        <w:trPr>
          <w:trHeight w:val="29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52AB2772" w14:textId="77777777" w:rsidR="00590932" w:rsidRDefault="005909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</w:tcPr>
          <w:p w14:paraId="0B15317C" w14:textId="77777777" w:rsidR="00590932" w:rsidRDefault="005909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14:paraId="47181932" w14:textId="77777777" w:rsidR="00590932" w:rsidRDefault="005909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</w:tr>
      <w:tr w:rsidR="00590932" w14:paraId="648F90C5" w14:textId="77777777">
        <w:trPr>
          <w:trHeight w:val="29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3815A5BA" w14:textId="77777777" w:rsidR="00590932" w:rsidRDefault="005909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3183B128" w14:textId="77777777" w:rsidR="00590932" w:rsidRDefault="005909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color w:val="000000"/>
                <w14:ligatures w14:val="standardContextual"/>
              </w:rPr>
              <w:t>B) STANJE NOVČANIH SREDSTAVA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24301B2F" w14:textId="77777777" w:rsidR="00590932" w:rsidRDefault="005909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color w:val="000000"/>
                <w14:ligatures w14:val="standardContextual"/>
              </w:rPr>
              <w:t>IZNOS (EUR)</w:t>
            </w:r>
          </w:p>
        </w:tc>
      </w:tr>
      <w:tr w:rsidR="00590932" w14:paraId="489EC6AD" w14:textId="77777777">
        <w:trPr>
          <w:trHeight w:val="581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72B1C655" w14:textId="77777777" w:rsidR="00590932" w:rsidRDefault="005909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92E2" w14:textId="77777777" w:rsidR="00590932" w:rsidRDefault="005909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Stanje novčanih sredstava na računima na kraju proračunske godine - 31.12.2025.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4899A013" w14:textId="77777777" w:rsidR="00590932" w:rsidRDefault="005909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41.610,23</w:t>
            </w:r>
          </w:p>
        </w:tc>
      </w:tr>
    </w:tbl>
    <w:p w14:paraId="620B5BE5" w14:textId="232D446F" w:rsidR="00F21009" w:rsidRDefault="00F21009" w:rsidP="00943C06">
      <w:pPr>
        <w:ind w:left="360"/>
        <w:rPr>
          <w:sz w:val="24"/>
          <w:szCs w:val="24"/>
        </w:rPr>
      </w:pPr>
    </w:p>
    <w:p w14:paraId="5D418CB1" w14:textId="77777777" w:rsidR="00F21009" w:rsidRDefault="00F21009" w:rsidP="00943C06">
      <w:pPr>
        <w:ind w:left="360"/>
        <w:rPr>
          <w:sz w:val="24"/>
          <w:szCs w:val="24"/>
        </w:rPr>
      </w:pPr>
    </w:p>
    <w:p w14:paraId="537BEFB6" w14:textId="77777777" w:rsidR="00263034" w:rsidRDefault="00263034" w:rsidP="00943C06">
      <w:pPr>
        <w:ind w:left="360"/>
        <w:rPr>
          <w:sz w:val="24"/>
          <w:szCs w:val="24"/>
        </w:rPr>
      </w:pPr>
    </w:p>
    <w:p w14:paraId="754B3E30" w14:textId="23CFF530" w:rsidR="00263034" w:rsidRDefault="00757034" w:rsidP="00F21D99">
      <w:pPr>
        <w:jc w:val="right"/>
        <w:rPr>
          <w:sz w:val="24"/>
          <w:szCs w:val="24"/>
        </w:rPr>
      </w:pPr>
      <w:r>
        <w:rPr>
          <w:sz w:val="24"/>
          <w:szCs w:val="24"/>
        </w:rPr>
        <w:t>RAVNATELJ :</w:t>
      </w:r>
    </w:p>
    <w:p w14:paraId="5686D263" w14:textId="4F33DBD2" w:rsidR="00757034" w:rsidRDefault="00757034" w:rsidP="00757034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D</w:t>
      </w:r>
      <w:r w:rsidR="002063E2">
        <w:rPr>
          <w:sz w:val="24"/>
          <w:szCs w:val="24"/>
        </w:rPr>
        <w:t>avor Kovačić, prof.</w:t>
      </w:r>
    </w:p>
    <w:p w14:paraId="1DE0EB56" w14:textId="77777777" w:rsidR="00C735D8" w:rsidRDefault="00C735D8" w:rsidP="00943C06">
      <w:pPr>
        <w:ind w:left="360"/>
        <w:rPr>
          <w:sz w:val="24"/>
          <w:szCs w:val="24"/>
        </w:rPr>
      </w:pPr>
    </w:p>
    <w:p w14:paraId="01788C4B" w14:textId="77777777" w:rsidR="00C735D8" w:rsidRDefault="00C735D8" w:rsidP="00943C06">
      <w:pPr>
        <w:ind w:left="360"/>
        <w:rPr>
          <w:sz w:val="24"/>
          <w:szCs w:val="24"/>
        </w:rPr>
      </w:pPr>
    </w:p>
    <w:p w14:paraId="0A2E43A3" w14:textId="77777777" w:rsidR="008B4722" w:rsidRDefault="008B4722" w:rsidP="00943C06">
      <w:pPr>
        <w:ind w:left="360"/>
        <w:rPr>
          <w:sz w:val="24"/>
          <w:szCs w:val="24"/>
        </w:rPr>
      </w:pPr>
    </w:p>
    <w:p w14:paraId="23437AAF" w14:textId="77777777" w:rsidR="001A1A21" w:rsidRDefault="001A1A21" w:rsidP="00943C06">
      <w:pPr>
        <w:ind w:left="360"/>
        <w:rPr>
          <w:sz w:val="24"/>
          <w:szCs w:val="24"/>
        </w:rPr>
      </w:pPr>
    </w:p>
    <w:p w14:paraId="735C1554" w14:textId="77777777" w:rsidR="00CB5076" w:rsidRPr="00CB5076" w:rsidRDefault="00CB5076" w:rsidP="00943C06">
      <w:pPr>
        <w:ind w:left="360"/>
        <w:rPr>
          <w:sz w:val="24"/>
          <w:szCs w:val="24"/>
        </w:rPr>
      </w:pPr>
    </w:p>
    <w:p w14:paraId="168CBDDF" w14:textId="77777777" w:rsidR="0019040B" w:rsidRPr="0019040B" w:rsidRDefault="0019040B" w:rsidP="0019040B">
      <w:pPr>
        <w:rPr>
          <w:b/>
          <w:bCs/>
          <w:sz w:val="24"/>
          <w:szCs w:val="24"/>
        </w:rPr>
      </w:pPr>
    </w:p>
    <w:p w14:paraId="03CFCDD7" w14:textId="188F17B7" w:rsidR="00606F1E" w:rsidRPr="00941755" w:rsidRDefault="00606F1E" w:rsidP="0019040B">
      <w:pPr>
        <w:jc w:val="both"/>
        <w:rPr>
          <w:sz w:val="24"/>
          <w:szCs w:val="24"/>
        </w:rPr>
      </w:pPr>
    </w:p>
    <w:sectPr w:rsidR="00606F1E" w:rsidRPr="00941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827C1"/>
    <w:multiLevelType w:val="hybridMultilevel"/>
    <w:tmpl w:val="C0DE8032"/>
    <w:lvl w:ilvl="0" w:tplc="D92E63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C5D61"/>
    <w:multiLevelType w:val="multilevel"/>
    <w:tmpl w:val="4A028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423653191">
    <w:abstractNumId w:val="1"/>
  </w:num>
  <w:num w:numId="2" w16cid:durableId="116424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09"/>
    <w:rsid w:val="00000451"/>
    <w:rsid w:val="00033491"/>
    <w:rsid w:val="00034AAF"/>
    <w:rsid w:val="00047AE3"/>
    <w:rsid w:val="000504A5"/>
    <w:rsid w:val="0005406E"/>
    <w:rsid w:val="00056464"/>
    <w:rsid w:val="00074A02"/>
    <w:rsid w:val="0007664A"/>
    <w:rsid w:val="00080503"/>
    <w:rsid w:val="00087EC2"/>
    <w:rsid w:val="000B309B"/>
    <w:rsid w:val="000C6D91"/>
    <w:rsid w:val="000D0F8B"/>
    <w:rsid w:val="000E7581"/>
    <w:rsid w:val="000F5A94"/>
    <w:rsid w:val="000F77EE"/>
    <w:rsid w:val="001078C1"/>
    <w:rsid w:val="0011126D"/>
    <w:rsid w:val="00115935"/>
    <w:rsid w:val="00131E56"/>
    <w:rsid w:val="00132CED"/>
    <w:rsid w:val="00144ADB"/>
    <w:rsid w:val="0019040B"/>
    <w:rsid w:val="00192229"/>
    <w:rsid w:val="00195BB5"/>
    <w:rsid w:val="001A1A21"/>
    <w:rsid w:val="001A5ED3"/>
    <w:rsid w:val="001B2DF4"/>
    <w:rsid w:val="001B770D"/>
    <w:rsid w:val="001E1493"/>
    <w:rsid w:val="001F3A1E"/>
    <w:rsid w:val="00203D22"/>
    <w:rsid w:val="002063E2"/>
    <w:rsid w:val="00206AC1"/>
    <w:rsid w:val="00206B28"/>
    <w:rsid w:val="00212B21"/>
    <w:rsid w:val="00215157"/>
    <w:rsid w:val="00240372"/>
    <w:rsid w:val="00240A99"/>
    <w:rsid w:val="00243F78"/>
    <w:rsid w:val="00257F88"/>
    <w:rsid w:val="0026076E"/>
    <w:rsid w:val="00261A99"/>
    <w:rsid w:val="00263034"/>
    <w:rsid w:val="00272B8A"/>
    <w:rsid w:val="002856BF"/>
    <w:rsid w:val="002872AA"/>
    <w:rsid w:val="002A618C"/>
    <w:rsid w:val="002B2A63"/>
    <w:rsid w:val="002B5464"/>
    <w:rsid w:val="002C39CA"/>
    <w:rsid w:val="002C3C38"/>
    <w:rsid w:val="002D62A8"/>
    <w:rsid w:val="002E16C0"/>
    <w:rsid w:val="002E2E60"/>
    <w:rsid w:val="00303F7D"/>
    <w:rsid w:val="00316533"/>
    <w:rsid w:val="003175B2"/>
    <w:rsid w:val="0032780D"/>
    <w:rsid w:val="003308C1"/>
    <w:rsid w:val="003428C7"/>
    <w:rsid w:val="0034731C"/>
    <w:rsid w:val="00350FEF"/>
    <w:rsid w:val="00352071"/>
    <w:rsid w:val="00353113"/>
    <w:rsid w:val="003641CA"/>
    <w:rsid w:val="00372B56"/>
    <w:rsid w:val="00381D04"/>
    <w:rsid w:val="0038504B"/>
    <w:rsid w:val="00391B91"/>
    <w:rsid w:val="003C15E2"/>
    <w:rsid w:val="003C2BCD"/>
    <w:rsid w:val="003C3082"/>
    <w:rsid w:val="003C7609"/>
    <w:rsid w:val="003F2EBB"/>
    <w:rsid w:val="003F76AE"/>
    <w:rsid w:val="0041127D"/>
    <w:rsid w:val="00412ED4"/>
    <w:rsid w:val="00413161"/>
    <w:rsid w:val="00415F91"/>
    <w:rsid w:val="0042282A"/>
    <w:rsid w:val="004279E3"/>
    <w:rsid w:val="00431A09"/>
    <w:rsid w:val="00455C2B"/>
    <w:rsid w:val="00480640"/>
    <w:rsid w:val="00490E07"/>
    <w:rsid w:val="004919A1"/>
    <w:rsid w:val="0049320D"/>
    <w:rsid w:val="00494947"/>
    <w:rsid w:val="004A5188"/>
    <w:rsid w:val="004C1A31"/>
    <w:rsid w:val="004E297A"/>
    <w:rsid w:val="004E4764"/>
    <w:rsid w:val="004E4C16"/>
    <w:rsid w:val="004E76E6"/>
    <w:rsid w:val="00501BEB"/>
    <w:rsid w:val="00510A7A"/>
    <w:rsid w:val="005118E0"/>
    <w:rsid w:val="00516397"/>
    <w:rsid w:val="00522D53"/>
    <w:rsid w:val="00534CF1"/>
    <w:rsid w:val="00541A47"/>
    <w:rsid w:val="005466FE"/>
    <w:rsid w:val="00553B60"/>
    <w:rsid w:val="005762AA"/>
    <w:rsid w:val="005762B8"/>
    <w:rsid w:val="00576402"/>
    <w:rsid w:val="00590932"/>
    <w:rsid w:val="00590B9A"/>
    <w:rsid w:val="00592EE9"/>
    <w:rsid w:val="00597A9A"/>
    <w:rsid w:val="005B03DF"/>
    <w:rsid w:val="005B3C04"/>
    <w:rsid w:val="005B62F7"/>
    <w:rsid w:val="005B6D3E"/>
    <w:rsid w:val="005C7250"/>
    <w:rsid w:val="005E0CC8"/>
    <w:rsid w:val="005F0C19"/>
    <w:rsid w:val="005F455B"/>
    <w:rsid w:val="00604D34"/>
    <w:rsid w:val="00605068"/>
    <w:rsid w:val="00606F1E"/>
    <w:rsid w:val="00613293"/>
    <w:rsid w:val="0061559A"/>
    <w:rsid w:val="00634203"/>
    <w:rsid w:val="006539E1"/>
    <w:rsid w:val="00666F32"/>
    <w:rsid w:val="006817B6"/>
    <w:rsid w:val="00681F4E"/>
    <w:rsid w:val="006837C3"/>
    <w:rsid w:val="00690C26"/>
    <w:rsid w:val="00693F4D"/>
    <w:rsid w:val="006A53D9"/>
    <w:rsid w:val="006A6776"/>
    <w:rsid w:val="006B2488"/>
    <w:rsid w:val="006B2F12"/>
    <w:rsid w:val="006B63F9"/>
    <w:rsid w:val="006C1B52"/>
    <w:rsid w:val="00704BCD"/>
    <w:rsid w:val="007052E9"/>
    <w:rsid w:val="0070654F"/>
    <w:rsid w:val="007209E2"/>
    <w:rsid w:val="00722D44"/>
    <w:rsid w:val="007359FE"/>
    <w:rsid w:val="007411C5"/>
    <w:rsid w:val="00743298"/>
    <w:rsid w:val="00755326"/>
    <w:rsid w:val="00757034"/>
    <w:rsid w:val="007732A1"/>
    <w:rsid w:val="00773D45"/>
    <w:rsid w:val="00780036"/>
    <w:rsid w:val="00782A02"/>
    <w:rsid w:val="007B64D0"/>
    <w:rsid w:val="007C5471"/>
    <w:rsid w:val="00801C01"/>
    <w:rsid w:val="00813037"/>
    <w:rsid w:val="0081503D"/>
    <w:rsid w:val="008209A6"/>
    <w:rsid w:val="008247F5"/>
    <w:rsid w:val="00827386"/>
    <w:rsid w:val="00841C38"/>
    <w:rsid w:val="00845611"/>
    <w:rsid w:val="00850E46"/>
    <w:rsid w:val="00862B18"/>
    <w:rsid w:val="008834D0"/>
    <w:rsid w:val="00896159"/>
    <w:rsid w:val="008B1DCD"/>
    <w:rsid w:val="008B4722"/>
    <w:rsid w:val="008C30CB"/>
    <w:rsid w:val="008C693A"/>
    <w:rsid w:val="008E1570"/>
    <w:rsid w:val="008E3B11"/>
    <w:rsid w:val="008E412A"/>
    <w:rsid w:val="008E753B"/>
    <w:rsid w:val="008E7A1D"/>
    <w:rsid w:val="00906EF8"/>
    <w:rsid w:val="00907C08"/>
    <w:rsid w:val="00935A58"/>
    <w:rsid w:val="00941755"/>
    <w:rsid w:val="00943C06"/>
    <w:rsid w:val="00945377"/>
    <w:rsid w:val="00946BFD"/>
    <w:rsid w:val="00947BCF"/>
    <w:rsid w:val="009647E4"/>
    <w:rsid w:val="00964A9D"/>
    <w:rsid w:val="00980592"/>
    <w:rsid w:val="009A7ADB"/>
    <w:rsid w:val="009C0B29"/>
    <w:rsid w:val="009E65C3"/>
    <w:rsid w:val="009F11DE"/>
    <w:rsid w:val="00A0502B"/>
    <w:rsid w:val="00A06226"/>
    <w:rsid w:val="00A138C7"/>
    <w:rsid w:val="00A263A7"/>
    <w:rsid w:val="00A34F16"/>
    <w:rsid w:val="00A35146"/>
    <w:rsid w:val="00A4271F"/>
    <w:rsid w:val="00A527DA"/>
    <w:rsid w:val="00A57F9D"/>
    <w:rsid w:val="00A67346"/>
    <w:rsid w:val="00A73A7C"/>
    <w:rsid w:val="00A77FCD"/>
    <w:rsid w:val="00A91B26"/>
    <w:rsid w:val="00A91C48"/>
    <w:rsid w:val="00AA7699"/>
    <w:rsid w:val="00AB4306"/>
    <w:rsid w:val="00AC557C"/>
    <w:rsid w:val="00AF14F7"/>
    <w:rsid w:val="00AF24A4"/>
    <w:rsid w:val="00AF2CDC"/>
    <w:rsid w:val="00AF6EC9"/>
    <w:rsid w:val="00B14A12"/>
    <w:rsid w:val="00B1689C"/>
    <w:rsid w:val="00B16ECA"/>
    <w:rsid w:val="00B31590"/>
    <w:rsid w:val="00B33AE9"/>
    <w:rsid w:val="00B361AD"/>
    <w:rsid w:val="00B50CE0"/>
    <w:rsid w:val="00B7120D"/>
    <w:rsid w:val="00B71EFF"/>
    <w:rsid w:val="00B80A37"/>
    <w:rsid w:val="00B81C1A"/>
    <w:rsid w:val="00B8697B"/>
    <w:rsid w:val="00B91255"/>
    <w:rsid w:val="00B91402"/>
    <w:rsid w:val="00BA5D53"/>
    <w:rsid w:val="00BA63DB"/>
    <w:rsid w:val="00BB45E1"/>
    <w:rsid w:val="00BB5CA7"/>
    <w:rsid w:val="00BB7E34"/>
    <w:rsid w:val="00BC67F7"/>
    <w:rsid w:val="00BC79C5"/>
    <w:rsid w:val="00BF3083"/>
    <w:rsid w:val="00C20BF6"/>
    <w:rsid w:val="00C22B26"/>
    <w:rsid w:val="00C3188D"/>
    <w:rsid w:val="00C456DB"/>
    <w:rsid w:val="00C63167"/>
    <w:rsid w:val="00C735D8"/>
    <w:rsid w:val="00C73B90"/>
    <w:rsid w:val="00C83C59"/>
    <w:rsid w:val="00C875A0"/>
    <w:rsid w:val="00C94EA5"/>
    <w:rsid w:val="00C9508B"/>
    <w:rsid w:val="00CB05C1"/>
    <w:rsid w:val="00CB361B"/>
    <w:rsid w:val="00CB5076"/>
    <w:rsid w:val="00CC4CFD"/>
    <w:rsid w:val="00CC5C4B"/>
    <w:rsid w:val="00CC6807"/>
    <w:rsid w:val="00CE0005"/>
    <w:rsid w:val="00CF5232"/>
    <w:rsid w:val="00D10DD6"/>
    <w:rsid w:val="00D22A92"/>
    <w:rsid w:val="00D55ECA"/>
    <w:rsid w:val="00D643DA"/>
    <w:rsid w:val="00D84AAF"/>
    <w:rsid w:val="00D84CF3"/>
    <w:rsid w:val="00D87E58"/>
    <w:rsid w:val="00D92964"/>
    <w:rsid w:val="00D93E1B"/>
    <w:rsid w:val="00DA5A3A"/>
    <w:rsid w:val="00DC03FC"/>
    <w:rsid w:val="00DC37FF"/>
    <w:rsid w:val="00DC4F09"/>
    <w:rsid w:val="00DC768D"/>
    <w:rsid w:val="00DD13CE"/>
    <w:rsid w:val="00DD7E9E"/>
    <w:rsid w:val="00DF50B3"/>
    <w:rsid w:val="00DF7EA8"/>
    <w:rsid w:val="00E04787"/>
    <w:rsid w:val="00E138D8"/>
    <w:rsid w:val="00E213C9"/>
    <w:rsid w:val="00E214BB"/>
    <w:rsid w:val="00E26080"/>
    <w:rsid w:val="00E2773C"/>
    <w:rsid w:val="00E35F30"/>
    <w:rsid w:val="00E400C9"/>
    <w:rsid w:val="00E40C3A"/>
    <w:rsid w:val="00E41DA4"/>
    <w:rsid w:val="00E50E0E"/>
    <w:rsid w:val="00E56BFB"/>
    <w:rsid w:val="00E60C39"/>
    <w:rsid w:val="00E62304"/>
    <w:rsid w:val="00E64047"/>
    <w:rsid w:val="00E72452"/>
    <w:rsid w:val="00E86277"/>
    <w:rsid w:val="00E86FBE"/>
    <w:rsid w:val="00EB2627"/>
    <w:rsid w:val="00EB3BB6"/>
    <w:rsid w:val="00EE079C"/>
    <w:rsid w:val="00EF1AD5"/>
    <w:rsid w:val="00EF53FC"/>
    <w:rsid w:val="00F03111"/>
    <w:rsid w:val="00F10FF4"/>
    <w:rsid w:val="00F11A71"/>
    <w:rsid w:val="00F144DA"/>
    <w:rsid w:val="00F15FDC"/>
    <w:rsid w:val="00F21009"/>
    <w:rsid w:val="00F21D99"/>
    <w:rsid w:val="00F26032"/>
    <w:rsid w:val="00F3584C"/>
    <w:rsid w:val="00F5089C"/>
    <w:rsid w:val="00F53770"/>
    <w:rsid w:val="00F53E9F"/>
    <w:rsid w:val="00F711EF"/>
    <w:rsid w:val="00F7144F"/>
    <w:rsid w:val="00F74DF4"/>
    <w:rsid w:val="00F75A20"/>
    <w:rsid w:val="00F85724"/>
    <w:rsid w:val="00FA727F"/>
    <w:rsid w:val="00FB6588"/>
    <w:rsid w:val="00FC6ACA"/>
    <w:rsid w:val="00FE4193"/>
    <w:rsid w:val="00FE671D"/>
    <w:rsid w:val="00FF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4B90"/>
  <w15:chartTrackingRefBased/>
  <w15:docId w15:val="{1C514421-AF1B-43C1-B28C-9C9FC0BE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F09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753B"/>
    <w:pPr>
      <w:ind w:left="720"/>
      <w:contextualSpacing/>
    </w:pPr>
  </w:style>
  <w:style w:type="table" w:styleId="Reetkatablice">
    <w:name w:val="Table Grid"/>
    <w:basedOn w:val="Obinatablica"/>
    <w:uiPriority w:val="39"/>
    <w:rsid w:val="00F26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074A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1298</Words>
  <Characters>7399</Characters>
  <Application>Microsoft Office Word</Application>
  <DocSecurity>0</DocSecurity>
  <Lines>61</Lines>
  <Paragraphs>17</Paragraphs>
  <ScaleCrop>false</ScaleCrop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vinčić</dc:creator>
  <cp:keywords/>
  <dc:description/>
  <cp:lastModifiedBy>nikolina vinčić</cp:lastModifiedBy>
  <cp:revision>296</cp:revision>
  <dcterms:created xsi:type="dcterms:W3CDTF">2024-02-14T05:30:00Z</dcterms:created>
  <dcterms:modified xsi:type="dcterms:W3CDTF">2026-02-09T16:30:00Z</dcterms:modified>
</cp:coreProperties>
</file>